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5F" w:rsidRPr="0038164E" w:rsidRDefault="0056755F" w:rsidP="0038164E">
      <w:pPr>
        <w:spacing w:after="0" w:line="480" w:lineRule="auto"/>
        <w:rPr>
          <w:rFonts w:asciiTheme="minorBidi" w:hAnsiTheme="minorBidi"/>
          <w:b/>
          <w:bCs/>
          <w:sz w:val="20"/>
          <w:szCs w:val="20"/>
        </w:rPr>
      </w:pPr>
      <w:r w:rsidRPr="0038164E">
        <w:rPr>
          <w:rFonts w:asciiTheme="minorBidi" w:hAnsiTheme="minorBidi"/>
          <w:b/>
          <w:bCs/>
          <w:sz w:val="20"/>
          <w:szCs w:val="20"/>
        </w:rPr>
        <w:t>Erving Goffman (1922-1982)</w:t>
      </w:r>
    </w:p>
    <w:p w:rsidR="002312AB" w:rsidRPr="0038164E" w:rsidRDefault="002312AB" w:rsidP="0038164E">
      <w:pPr>
        <w:spacing w:after="0" w:line="480" w:lineRule="auto"/>
        <w:rPr>
          <w:rFonts w:asciiTheme="minorBidi" w:hAnsiTheme="minorBidi"/>
          <w:sz w:val="20"/>
          <w:szCs w:val="20"/>
        </w:rPr>
      </w:pPr>
    </w:p>
    <w:p w:rsidR="004D3934" w:rsidRPr="0038164E" w:rsidRDefault="000B15D8" w:rsidP="006149C2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38164E">
        <w:rPr>
          <w:rFonts w:asciiTheme="minorBidi" w:hAnsiTheme="minorBidi"/>
          <w:sz w:val="20"/>
          <w:szCs w:val="20"/>
        </w:rPr>
        <w:t xml:space="preserve">Erving Goffman was a Canadian-born sociologist. </w:t>
      </w:r>
      <w:r w:rsidR="008B2586">
        <w:rPr>
          <w:rFonts w:asciiTheme="minorBidi" w:hAnsiTheme="minorBidi"/>
          <w:sz w:val="20"/>
          <w:szCs w:val="20"/>
        </w:rPr>
        <w:t>A</w:t>
      </w:r>
      <w:r w:rsidR="008B2586" w:rsidRPr="0038164E">
        <w:rPr>
          <w:rFonts w:asciiTheme="minorBidi" w:hAnsiTheme="minorBidi"/>
          <w:sz w:val="20"/>
          <w:szCs w:val="20"/>
        </w:rPr>
        <w:t>t the University of California, Berkeley</w:t>
      </w:r>
      <w:r w:rsidR="008B2586">
        <w:rPr>
          <w:rFonts w:asciiTheme="minorBidi" w:hAnsiTheme="minorBidi"/>
          <w:sz w:val="20"/>
          <w:szCs w:val="20"/>
        </w:rPr>
        <w:t>,</w:t>
      </w:r>
      <w:r w:rsidR="008B2586" w:rsidRPr="0038164E">
        <w:rPr>
          <w:rFonts w:asciiTheme="minorBidi" w:hAnsiTheme="minorBidi"/>
          <w:sz w:val="20"/>
          <w:szCs w:val="20"/>
        </w:rPr>
        <w:t xml:space="preserve"> an</w:t>
      </w:r>
      <w:r w:rsidR="008B2586">
        <w:rPr>
          <w:rFonts w:asciiTheme="minorBidi" w:hAnsiTheme="minorBidi"/>
          <w:sz w:val="20"/>
          <w:szCs w:val="20"/>
        </w:rPr>
        <w:t xml:space="preserve">d the University of Pennsylvania, he </w:t>
      </w:r>
      <w:r w:rsidR="002312AB" w:rsidRPr="0038164E">
        <w:rPr>
          <w:rFonts w:asciiTheme="minorBidi" w:hAnsiTheme="minorBidi"/>
          <w:sz w:val="20"/>
          <w:szCs w:val="20"/>
        </w:rPr>
        <w:t xml:space="preserve">promoted micro-sociology, which </w:t>
      </w:r>
      <w:r w:rsidR="008B2586" w:rsidRPr="0038164E">
        <w:rPr>
          <w:rFonts w:asciiTheme="minorBidi" w:hAnsiTheme="minorBidi"/>
          <w:sz w:val="20"/>
          <w:szCs w:val="20"/>
        </w:rPr>
        <w:t>reveal</w:t>
      </w:r>
      <w:r w:rsidR="008B2586">
        <w:rPr>
          <w:rFonts w:asciiTheme="minorBidi" w:hAnsiTheme="minorBidi"/>
          <w:sz w:val="20"/>
          <w:szCs w:val="20"/>
        </w:rPr>
        <w:t>s</w:t>
      </w:r>
      <w:r w:rsidR="008B2586" w:rsidRPr="0038164E">
        <w:rPr>
          <w:rFonts w:asciiTheme="minorBidi" w:hAnsiTheme="minorBidi"/>
          <w:sz w:val="20"/>
          <w:szCs w:val="20"/>
        </w:rPr>
        <w:t xml:space="preserve"> social structures</w:t>
      </w:r>
      <w:r w:rsidR="008B2586" w:rsidRPr="0038164E">
        <w:rPr>
          <w:rFonts w:asciiTheme="minorBidi" w:hAnsiTheme="minorBidi"/>
          <w:sz w:val="20"/>
          <w:szCs w:val="20"/>
        </w:rPr>
        <w:t xml:space="preserve"> </w:t>
      </w:r>
      <w:r w:rsidR="008B2586">
        <w:rPr>
          <w:rFonts w:asciiTheme="minorBidi" w:hAnsiTheme="minorBidi"/>
          <w:sz w:val="20"/>
          <w:szCs w:val="20"/>
        </w:rPr>
        <w:t xml:space="preserve">in </w:t>
      </w:r>
      <w:r w:rsidR="002312AB" w:rsidRPr="0038164E">
        <w:rPr>
          <w:rFonts w:asciiTheme="minorBidi" w:hAnsiTheme="minorBidi"/>
          <w:sz w:val="20"/>
          <w:szCs w:val="20"/>
        </w:rPr>
        <w:t>the minutiae of face-to-face interaction (the 'interaction order')</w:t>
      </w:r>
      <w:r w:rsidR="006149C2">
        <w:rPr>
          <w:rFonts w:asciiTheme="minorBidi" w:hAnsiTheme="minorBidi"/>
          <w:sz w:val="20"/>
          <w:szCs w:val="20"/>
        </w:rPr>
        <w:t xml:space="preserve">. For Goffman, </w:t>
      </w:r>
      <w:r w:rsidR="002312AB" w:rsidRPr="0038164E">
        <w:rPr>
          <w:rFonts w:asciiTheme="minorBidi" w:hAnsiTheme="minorBidi"/>
          <w:sz w:val="20"/>
          <w:szCs w:val="20"/>
        </w:rPr>
        <w:t xml:space="preserve">stating the obvious </w:t>
      </w:r>
      <w:r w:rsidR="006149C2">
        <w:rPr>
          <w:rFonts w:asciiTheme="minorBidi" w:hAnsiTheme="minorBidi"/>
          <w:sz w:val="20"/>
          <w:szCs w:val="20"/>
        </w:rPr>
        <w:t xml:space="preserve">was </w:t>
      </w:r>
      <w:r w:rsidR="002312AB" w:rsidRPr="0038164E">
        <w:rPr>
          <w:rFonts w:asciiTheme="minorBidi" w:hAnsiTheme="minorBidi"/>
          <w:sz w:val="20"/>
          <w:szCs w:val="20"/>
        </w:rPr>
        <w:t>a way of uncovering that which is taken for granted.</w:t>
      </w:r>
    </w:p>
    <w:p w:rsidR="006149C2" w:rsidRDefault="00BA68A7" w:rsidP="00D341B9">
      <w:pPr>
        <w:spacing w:after="0" w:line="480" w:lineRule="auto"/>
        <w:ind w:firstLine="720"/>
        <w:rPr>
          <w:rFonts w:asciiTheme="minorBidi" w:hAnsiTheme="minorBidi"/>
          <w:sz w:val="20"/>
          <w:szCs w:val="20"/>
        </w:rPr>
      </w:pPr>
      <w:r w:rsidRPr="0038164E">
        <w:rPr>
          <w:rFonts w:asciiTheme="minorBidi" w:hAnsiTheme="minorBidi"/>
          <w:sz w:val="20"/>
          <w:szCs w:val="20"/>
        </w:rPr>
        <w:t>Design historians interested in the everyday and performativity have been influenced by Goffman’s dramaturgical model</w:t>
      </w:r>
      <w:r w:rsidR="006149C2">
        <w:rPr>
          <w:rFonts w:asciiTheme="minorBidi" w:hAnsiTheme="minorBidi"/>
          <w:sz w:val="20"/>
          <w:szCs w:val="20"/>
        </w:rPr>
        <w:t xml:space="preserve">, which </w:t>
      </w:r>
      <w:r w:rsidR="006149C2" w:rsidRPr="0038164E">
        <w:rPr>
          <w:rFonts w:asciiTheme="minorBidi" w:hAnsiTheme="minorBidi"/>
          <w:sz w:val="20"/>
          <w:szCs w:val="20"/>
        </w:rPr>
        <w:t>illuminate</w:t>
      </w:r>
      <w:r w:rsidR="006149C2">
        <w:rPr>
          <w:rFonts w:asciiTheme="minorBidi" w:hAnsiTheme="minorBidi"/>
          <w:sz w:val="20"/>
          <w:szCs w:val="20"/>
        </w:rPr>
        <w:t>s</w:t>
      </w:r>
      <w:r w:rsidR="006149C2" w:rsidRPr="0038164E">
        <w:rPr>
          <w:rFonts w:asciiTheme="minorBidi" w:hAnsiTheme="minorBidi"/>
          <w:sz w:val="20"/>
          <w:szCs w:val="20"/>
        </w:rPr>
        <w:t xml:space="preserve"> how ‘design facilitates our interactions’ and ‘mediates our comprehension of, and commitment to, civic and social structures’ (Clark and Brody, 2009: 219).</w:t>
      </w:r>
      <w:r w:rsidR="006149C2">
        <w:rPr>
          <w:rFonts w:asciiTheme="minorBidi" w:hAnsiTheme="minorBidi"/>
          <w:sz w:val="20"/>
          <w:szCs w:val="20"/>
        </w:rPr>
        <w:t xml:space="preserve"> </w:t>
      </w:r>
      <w:r w:rsidR="006149C2">
        <w:rPr>
          <w:rFonts w:asciiTheme="minorBidi" w:hAnsiTheme="minorBidi"/>
          <w:sz w:val="20"/>
          <w:szCs w:val="20"/>
        </w:rPr>
        <w:t xml:space="preserve">However, </w:t>
      </w:r>
      <w:r w:rsidR="006149C2" w:rsidRPr="0038164E">
        <w:rPr>
          <w:rFonts w:asciiTheme="minorBidi" w:hAnsiTheme="minorBidi"/>
          <w:sz w:val="20"/>
          <w:szCs w:val="20"/>
        </w:rPr>
        <w:t>Goffman's interest in material culture extends only as far as it assists the performer in staging a good show.</w:t>
      </w:r>
    </w:p>
    <w:p w:rsidR="006149C2" w:rsidRDefault="006149C2" w:rsidP="00D341B9">
      <w:pPr>
        <w:spacing w:after="0" w:line="480" w:lineRule="auto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Goffman’s </w:t>
      </w:r>
      <w:r w:rsidR="004D3934" w:rsidRPr="0038164E">
        <w:rPr>
          <w:rFonts w:asciiTheme="minorBidi" w:hAnsiTheme="minorBidi"/>
          <w:sz w:val="20"/>
          <w:szCs w:val="20"/>
        </w:rPr>
        <w:t xml:space="preserve">best known work, </w:t>
      </w:r>
      <w:r w:rsidR="004D3934" w:rsidRPr="0038164E">
        <w:rPr>
          <w:rFonts w:asciiTheme="minorBidi" w:hAnsiTheme="minorBidi"/>
          <w:i/>
          <w:iCs/>
          <w:sz w:val="20"/>
          <w:szCs w:val="20"/>
        </w:rPr>
        <w:t>The Presentation of Self in Everyday Life</w:t>
      </w:r>
      <w:r w:rsidR="004D3934" w:rsidRPr="0038164E">
        <w:rPr>
          <w:rFonts w:asciiTheme="minorBidi" w:hAnsiTheme="minorBidi"/>
          <w:sz w:val="20"/>
          <w:szCs w:val="20"/>
        </w:rPr>
        <w:t xml:space="preserve"> </w:t>
      </w:r>
      <w:r w:rsidR="00AF4C3D" w:rsidRPr="0038164E">
        <w:rPr>
          <w:rFonts w:asciiTheme="minorBidi" w:hAnsiTheme="minorBidi"/>
          <w:sz w:val="20"/>
          <w:szCs w:val="20"/>
        </w:rPr>
        <w:t>(</w:t>
      </w:r>
      <w:r>
        <w:rPr>
          <w:rFonts w:asciiTheme="minorBidi" w:hAnsiTheme="minorBidi"/>
          <w:sz w:val="20"/>
          <w:szCs w:val="20"/>
        </w:rPr>
        <w:t xml:space="preserve">first </w:t>
      </w:r>
      <w:r w:rsidR="004D3934" w:rsidRPr="0038164E">
        <w:rPr>
          <w:rFonts w:asciiTheme="minorBidi" w:hAnsiTheme="minorBidi"/>
          <w:sz w:val="20"/>
          <w:szCs w:val="20"/>
        </w:rPr>
        <w:t>published in 1956 by the University of Edinburgh Press and commercial</w:t>
      </w:r>
      <w:r>
        <w:rPr>
          <w:rFonts w:asciiTheme="minorBidi" w:hAnsiTheme="minorBidi"/>
          <w:sz w:val="20"/>
          <w:szCs w:val="20"/>
        </w:rPr>
        <w:t>ly</w:t>
      </w:r>
      <w:r w:rsidR="004D3934" w:rsidRPr="0038164E">
        <w:rPr>
          <w:rFonts w:asciiTheme="minorBidi" w:hAnsiTheme="minorBidi"/>
          <w:sz w:val="20"/>
          <w:szCs w:val="20"/>
        </w:rPr>
        <w:t xml:space="preserve"> in 1959</w:t>
      </w:r>
      <w:r w:rsidR="00AF4C3D" w:rsidRPr="0038164E">
        <w:rPr>
          <w:rFonts w:asciiTheme="minorBidi" w:hAnsiTheme="minorBidi"/>
          <w:sz w:val="20"/>
          <w:szCs w:val="20"/>
        </w:rPr>
        <w:t>)</w:t>
      </w:r>
      <w:r>
        <w:rPr>
          <w:rFonts w:asciiTheme="minorBidi" w:hAnsiTheme="minorBidi"/>
          <w:sz w:val="20"/>
          <w:szCs w:val="20"/>
        </w:rPr>
        <w:t xml:space="preserve"> </w:t>
      </w:r>
      <w:r w:rsidR="004D3934" w:rsidRPr="0038164E">
        <w:rPr>
          <w:rFonts w:asciiTheme="minorBidi" w:hAnsiTheme="minorBidi"/>
          <w:sz w:val="20"/>
          <w:szCs w:val="20"/>
        </w:rPr>
        <w:t xml:space="preserve">drew on </w:t>
      </w:r>
      <w:r>
        <w:rPr>
          <w:rFonts w:asciiTheme="minorBidi" w:hAnsiTheme="minorBidi"/>
          <w:sz w:val="20"/>
          <w:szCs w:val="20"/>
        </w:rPr>
        <w:t xml:space="preserve">ethnographic work on </w:t>
      </w:r>
      <w:r w:rsidR="004D3934" w:rsidRPr="0038164E">
        <w:rPr>
          <w:rFonts w:asciiTheme="minorBidi" w:hAnsiTheme="minorBidi"/>
          <w:sz w:val="20"/>
          <w:szCs w:val="20"/>
        </w:rPr>
        <w:t xml:space="preserve">the Shetland island of </w:t>
      </w:r>
      <w:proofErr w:type="spellStart"/>
      <w:r w:rsidR="004D3934" w:rsidRPr="0038164E">
        <w:rPr>
          <w:rFonts w:asciiTheme="minorBidi" w:hAnsiTheme="minorBidi"/>
          <w:sz w:val="20"/>
          <w:szCs w:val="20"/>
        </w:rPr>
        <w:t>Unst</w:t>
      </w:r>
      <w:proofErr w:type="spellEnd"/>
      <w:r>
        <w:rPr>
          <w:rFonts w:asciiTheme="minorBidi" w:hAnsiTheme="minorBidi"/>
          <w:sz w:val="20"/>
          <w:szCs w:val="20"/>
        </w:rPr>
        <w:t xml:space="preserve">, examined in </w:t>
      </w:r>
      <w:r w:rsidR="004D3934" w:rsidRPr="0038164E">
        <w:rPr>
          <w:rFonts w:asciiTheme="minorBidi" w:hAnsiTheme="minorBidi"/>
          <w:sz w:val="20"/>
          <w:szCs w:val="20"/>
        </w:rPr>
        <w:t>h</w:t>
      </w:r>
      <w:r w:rsidR="0056755F" w:rsidRPr="0038164E">
        <w:rPr>
          <w:rFonts w:asciiTheme="minorBidi" w:hAnsiTheme="minorBidi"/>
          <w:sz w:val="20"/>
          <w:szCs w:val="20"/>
        </w:rPr>
        <w:t xml:space="preserve">is </w:t>
      </w:r>
      <w:r w:rsidR="00613272" w:rsidRPr="0038164E">
        <w:rPr>
          <w:rFonts w:asciiTheme="minorBidi" w:hAnsiTheme="minorBidi"/>
          <w:sz w:val="20"/>
          <w:szCs w:val="20"/>
        </w:rPr>
        <w:t>PhD ‘Communication Conduct in an Island Community’ (University of Chicago, 1953)</w:t>
      </w:r>
      <w:r>
        <w:rPr>
          <w:rFonts w:asciiTheme="minorBidi" w:hAnsiTheme="minorBidi"/>
          <w:sz w:val="20"/>
          <w:szCs w:val="20"/>
        </w:rPr>
        <w:t xml:space="preserve">. Goffman shows how </w:t>
      </w:r>
      <w:r w:rsidR="00424C7B">
        <w:rPr>
          <w:rFonts w:asciiTheme="minorBidi" w:hAnsiTheme="minorBidi"/>
          <w:sz w:val="20"/>
          <w:szCs w:val="20"/>
        </w:rPr>
        <w:t>w</w:t>
      </w:r>
      <w:r w:rsidR="00424C7B" w:rsidRPr="0038164E">
        <w:rPr>
          <w:rFonts w:asciiTheme="minorBidi" w:hAnsiTheme="minorBidi"/>
          <w:sz w:val="20"/>
          <w:szCs w:val="20"/>
        </w:rPr>
        <w:t xml:space="preserve">e maintain conspicuous consumption appropriate to status and setting. The setting involves the scenery and stage props for human action </w:t>
      </w:r>
      <w:r w:rsidR="00424C7B">
        <w:rPr>
          <w:rFonts w:asciiTheme="minorBidi" w:hAnsiTheme="minorBidi"/>
          <w:sz w:val="20"/>
          <w:szCs w:val="20"/>
        </w:rPr>
        <w:t>(</w:t>
      </w:r>
      <w:r w:rsidR="00424C7B" w:rsidRPr="0038164E">
        <w:rPr>
          <w:rFonts w:asciiTheme="minorBidi" w:hAnsiTheme="minorBidi"/>
          <w:sz w:val="20"/>
          <w:szCs w:val="20"/>
        </w:rPr>
        <w:t>furniture, decor, physical layout</w:t>
      </w:r>
      <w:r w:rsidR="00424C7B">
        <w:rPr>
          <w:rFonts w:asciiTheme="minorBidi" w:hAnsiTheme="minorBidi"/>
          <w:sz w:val="20"/>
          <w:szCs w:val="20"/>
        </w:rPr>
        <w:t>). T</w:t>
      </w:r>
      <w:r w:rsidR="00424C7B" w:rsidRPr="0038164E">
        <w:rPr>
          <w:rFonts w:asciiTheme="minorBidi" w:hAnsiTheme="minorBidi"/>
          <w:sz w:val="20"/>
          <w:szCs w:val="20"/>
        </w:rPr>
        <w:t xml:space="preserve">he personal front is composed of appearance, gesture, clothing, insignia and manner. Following </w:t>
      </w:r>
      <w:proofErr w:type="spellStart"/>
      <w:r w:rsidR="00424C7B" w:rsidRPr="0038164E">
        <w:rPr>
          <w:rFonts w:asciiTheme="minorBidi" w:hAnsiTheme="minorBidi"/>
          <w:sz w:val="20"/>
          <w:szCs w:val="20"/>
        </w:rPr>
        <w:t>Thorstein</w:t>
      </w:r>
      <w:proofErr w:type="spellEnd"/>
      <w:r w:rsidR="00424C7B" w:rsidRPr="0038164E">
        <w:rPr>
          <w:rFonts w:asciiTheme="minorBidi" w:hAnsiTheme="minorBidi"/>
          <w:sz w:val="20"/>
          <w:szCs w:val="20"/>
        </w:rPr>
        <w:t xml:space="preserve"> Veblen, Goffman noted that people </w:t>
      </w:r>
      <w:r w:rsidR="00424C7B">
        <w:rPr>
          <w:rFonts w:asciiTheme="minorBidi" w:hAnsiTheme="minorBidi"/>
          <w:sz w:val="20"/>
          <w:szCs w:val="20"/>
        </w:rPr>
        <w:t xml:space="preserve">can also </w:t>
      </w:r>
      <w:r w:rsidR="00424C7B" w:rsidRPr="0038164E">
        <w:rPr>
          <w:rFonts w:asciiTheme="minorBidi" w:hAnsiTheme="minorBidi"/>
          <w:sz w:val="20"/>
          <w:szCs w:val="20"/>
        </w:rPr>
        <w:t xml:space="preserve">be props, such as footmen, or </w:t>
      </w:r>
      <w:r w:rsidR="00424C7B">
        <w:rPr>
          <w:rFonts w:asciiTheme="minorBidi" w:hAnsiTheme="minorBidi"/>
          <w:sz w:val="20"/>
          <w:szCs w:val="20"/>
        </w:rPr>
        <w:t xml:space="preserve">wives </w:t>
      </w:r>
      <w:r w:rsidR="00424C7B" w:rsidRPr="0038164E">
        <w:rPr>
          <w:rFonts w:asciiTheme="minorBidi" w:hAnsiTheme="minorBidi"/>
          <w:sz w:val="20"/>
          <w:szCs w:val="20"/>
        </w:rPr>
        <w:t xml:space="preserve">displaying a </w:t>
      </w:r>
      <w:r w:rsidR="00424C7B">
        <w:rPr>
          <w:rFonts w:asciiTheme="minorBidi" w:hAnsiTheme="minorBidi"/>
          <w:sz w:val="20"/>
          <w:szCs w:val="20"/>
        </w:rPr>
        <w:t xml:space="preserve">spouse’s </w:t>
      </w:r>
      <w:r w:rsidR="00424C7B" w:rsidRPr="0038164E">
        <w:rPr>
          <w:rFonts w:asciiTheme="minorBidi" w:hAnsiTheme="minorBidi"/>
          <w:sz w:val="20"/>
          <w:szCs w:val="20"/>
        </w:rPr>
        <w:t>wealth. The back stage is where illusio</w:t>
      </w:r>
      <w:r w:rsidR="00424C7B">
        <w:rPr>
          <w:rFonts w:asciiTheme="minorBidi" w:hAnsiTheme="minorBidi"/>
          <w:sz w:val="20"/>
          <w:szCs w:val="20"/>
        </w:rPr>
        <w:t xml:space="preserve">ns are devised and stored, and </w:t>
      </w:r>
      <w:r w:rsidR="00424C7B" w:rsidRPr="0038164E">
        <w:rPr>
          <w:rFonts w:asciiTheme="minorBidi" w:hAnsiTheme="minorBidi"/>
          <w:sz w:val="20"/>
          <w:szCs w:val="20"/>
        </w:rPr>
        <w:t>costumes</w:t>
      </w:r>
      <w:r w:rsidR="00424C7B">
        <w:rPr>
          <w:rFonts w:asciiTheme="minorBidi" w:hAnsiTheme="minorBidi"/>
          <w:sz w:val="20"/>
          <w:szCs w:val="20"/>
        </w:rPr>
        <w:t xml:space="preserve">, for example, </w:t>
      </w:r>
      <w:r w:rsidR="00424C7B" w:rsidRPr="0038164E">
        <w:rPr>
          <w:rFonts w:asciiTheme="minorBidi" w:hAnsiTheme="minorBidi"/>
          <w:sz w:val="20"/>
          <w:szCs w:val="20"/>
        </w:rPr>
        <w:t xml:space="preserve">are maintained. </w:t>
      </w:r>
      <w:r w:rsidR="00424C7B">
        <w:rPr>
          <w:rFonts w:asciiTheme="minorBidi" w:hAnsiTheme="minorBidi"/>
          <w:bCs/>
          <w:sz w:val="20"/>
          <w:szCs w:val="20"/>
        </w:rPr>
        <w:t>'S</w:t>
      </w:r>
      <w:r w:rsidR="00424C7B" w:rsidRPr="0038164E">
        <w:rPr>
          <w:rFonts w:asciiTheme="minorBidi" w:hAnsiTheme="minorBidi"/>
          <w:bCs/>
          <w:sz w:val="20"/>
          <w:szCs w:val="20"/>
        </w:rPr>
        <w:t xml:space="preserve">ign equipment' usually signifies differently according to the setting </w:t>
      </w:r>
      <w:r w:rsidR="00424C7B">
        <w:rPr>
          <w:rFonts w:asciiTheme="minorBidi" w:hAnsiTheme="minorBidi"/>
          <w:bCs/>
          <w:sz w:val="20"/>
          <w:szCs w:val="20"/>
        </w:rPr>
        <w:t xml:space="preserve">(e.g. </w:t>
      </w:r>
      <w:r w:rsidR="00424C7B" w:rsidRPr="0038164E">
        <w:rPr>
          <w:rFonts w:asciiTheme="minorBidi" w:hAnsiTheme="minorBidi"/>
          <w:bCs/>
          <w:sz w:val="20"/>
          <w:szCs w:val="20"/>
        </w:rPr>
        <w:t xml:space="preserve">a </w:t>
      </w:r>
      <w:r w:rsidR="00424C7B" w:rsidRPr="0038164E">
        <w:rPr>
          <w:rFonts w:asciiTheme="minorBidi" w:hAnsiTheme="minorBidi"/>
          <w:sz w:val="20"/>
          <w:szCs w:val="20"/>
        </w:rPr>
        <w:t xml:space="preserve">suit may be worn </w:t>
      </w:r>
      <w:r w:rsidR="00424C7B">
        <w:rPr>
          <w:rFonts w:asciiTheme="minorBidi" w:hAnsiTheme="minorBidi"/>
          <w:sz w:val="20"/>
          <w:szCs w:val="20"/>
        </w:rPr>
        <w:t xml:space="preserve">for </w:t>
      </w:r>
      <w:r w:rsidR="00424C7B" w:rsidRPr="0038164E">
        <w:rPr>
          <w:rFonts w:asciiTheme="minorBidi" w:hAnsiTheme="minorBidi"/>
          <w:sz w:val="20"/>
          <w:szCs w:val="20"/>
        </w:rPr>
        <w:t>work and for socialising</w:t>
      </w:r>
      <w:r w:rsidR="00424C7B">
        <w:rPr>
          <w:rFonts w:asciiTheme="minorBidi" w:hAnsiTheme="minorBidi"/>
          <w:sz w:val="20"/>
          <w:szCs w:val="20"/>
        </w:rPr>
        <w:t xml:space="preserve">) but </w:t>
      </w:r>
      <w:r w:rsidR="00424C7B" w:rsidRPr="0038164E">
        <w:rPr>
          <w:rFonts w:asciiTheme="minorBidi" w:hAnsiTheme="minorBidi"/>
          <w:sz w:val="20"/>
          <w:szCs w:val="20"/>
        </w:rPr>
        <w:t xml:space="preserve">sometimes it is specific to one ritual, such as a wedding dress. Similarly, settings are usually determined by the performances staged within them, </w:t>
      </w:r>
      <w:r w:rsidR="00424C7B">
        <w:rPr>
          <w:rFonts w:asciiTheme="minorBidi" w:hAnsiTheme="minorBidi"/>
          <w:sz w:val="20"/>
          <w:szCs w:val="20"/>
        </w:rPr>
        <w:t xml:space="preserve">but </w:t>
      </w:r>
      <w:r w:rsidR="00424C7B" w:rsidRPr="0038164E">
        <w:rPr>
          <w:rFonts w:asciiTheme="minorBidi" w:hAnsiTheme="minorBidi"/>
          <w:sz w:val="20"/>
          <w:szCs w:val="20"/>
        </w:rPr>
        <w:t>exceptions include cathedrals</w:t>
      </w:r>
      <w:r w:rsidR="00424C7B">
        <w:rPr>
          <w:rFonts w:asciiTheme="minorBidi" w:hAnsiTheme="minorBidi"/>
          <w:sz w:val="20"/>
          <w:szCs w:val="20"/>
        </w:rPr>
        <w:t>, for instance</w:t>
      </w:r>
      <w:r w:rsidR="00424C7B" w:rsidRPr="0038164E">
        <w:rPr>
          <w:rFonts w:asciiTheme="minorBidi" w:hAnsiTheme="minorBidi"/>
          <w:sz w:val="20"/>
          <w:szCs w:val="20"/>
        </w:rPr>
        <w:t>. Goffman acknowledges that the most important pieces of sign-equipment are those associated with social class, such as status symbols or expressions of material wealth, but</w:t>
      </w:r>
      <w:r w:rsidR="00424C7B">
        <w:rPr>
          <w:rFonts w:asciiTheme="minorBidi" w:hAnsiTheme="minorBidi"/>
          <w:sz w:val="20"/>
          <w:szCs w:val="20"/>
        </w:rPr>
        <w:t xml:space="preserve"> he </w:t>
      </w:r>
      <w:r w:rsidR="00424C7B" w:rsidRPr="0038164E">
        <w:rPr>
          <w:rFonts w:asciiTheme="minorBidi" w:hAnsiTheme="minorBidi"/>
          <w:sz w:val="20"/>
          <w:szCs w:val="20"/>
        </w:rPr>
        <w:t xml:space="preserve">questioned the reliability </w:t>
      </w:r>
      <w:r w:rsidR="00424C7B">
        <w:rPr>
          <w:rFonts w:asciiTheme="minorBidi" w:hAnsiTheme="minorBidi"/>
          <w:sz w:val="20"/>
          <w:szCs w:val="20"/>
        </w:rPr>
        <w:t xml:space="preserve">of </w:t>
      </w:r>
      <w:r w:rsidR="00424C7B" w:rsidRPr="0038164E">
        <w:rPr>
          <w:rFonts w:asciiTheme="minorBidi" w:hAnsiTheme="minorBidi"/>
          <w:sz w:val="20"/>
          <w:szCs w:val="20"/>
        </w:rPr>
        <w:t xml:space="preserve">material culture </w:t>
      </w:r>
      <w:r w:rsidR="00424C7B">
        <w:rPr>
          <w:rFonts w:asciiTheme="minorBidi" w:hAnsiTheme="minorBidi"/>
          <w:sz w:val="20"/>
          <w:szCs w:val="20"/>
        </w:rPr>
        <w:t xml:space="preserve">for </w:t>
      </w:r>
      <w:r w:rsidR="00424C7B" w:rsidRPr="0038164E">
        <w:rPr>
          <w:rFonts w:asciiTheme="minorBidi" w:hAnsiTheme="minorBidi"/>
          <w:sz w:val="20"/>
          <w:szCs w:val="20"/>
        </w:rPr>
        <w:t xml:space="preserve">status </w:t>
      </w:r>
      <w:r w:rsidR="00424C7B">
        <w:rPr>
          <w:rFonts w:asciiTheme="minorBidi" w:hAnsiTheme="minorBidi"/>
          <w:sz w:val="20"/>
          <w:szCs w:val="20"/>
        </w:rPr>
        <w:t>display</w:t>
      </w:r>
      <w:r w:rsidR="00D341B9">
        <w:rPr>
          <w:rFonts w:asciiTheme="minorBidi" w:hAnsiTheme="minorBidi"/>
          <w:sz w:val="20"/>
          <w:szCs w:val="20"/>
        </w:rPr>
        <w:t>, arguing that status was a pattern of behaviour not a material thing to be possessed.</w:t>
      </w:r>
      <w:r w:rsidR="00424C7B" w:rsidRPr="0038164E">
        <w:rPr>
          <w:rFonts w:asciiTheme="minorBidi" w:hAnsiTheme="minorBidi"/>
          <w:sz w:val="20"/>
          <w:szCs w:val="20"/>
        </w:rPr>
        <w:t xml:space="preserve"> </w:t>
      </w:r>
      <w:r w:rsidR="00AF4C3D" w:rsidRPr="0038164E">
        <w:rPr>
          <w:rFonts w:asciiTheme="minorBidi" w:hAnsiTheme="minorBidi"/>
          <w:sz w:val="20"/>
          <w:szCs w:val="20"/>
        </w:rPr>
        <w:t>B</w:t>
      </w:r>
      <w:r w:rsidR="003640BA" w:rsidRPr="0038164E">
        <w:rPr>
          <w:rFonts w:asciiTheme="minorBidi" w:hAnsiTheme="minorBidi"/>
          <w:sz w:val="20"/>
          <w:szCs w:val="20"/>
        </w:rPr>
        <w:t xml:space="preserve">ecause in </w:t>
      </w:r>
      <w:r w:rsidR="00EB0E64" w:rsidRPr="0038164E">
        <w:rPr>
          <w:rFonts w:asciiTheme="minorBidi" w:hAnsiTheme="minorBidi"/>
          <w:sz w:val="20"/>
          <w:szCs w:val="20"/>
        </w:rPr>
        <w:t xml:space="preserve">the </w:t>
      </w:r>
      <w:r w:rsidR="003640BA" w:rsidRPr="0038164E">
        <w:rPr>
          <w:rFonts w:asciiTheme="minorBidi" w:hAnsiTheme="minorBidi"/>
          <w:sz w:val="20"/>
          <w:szCs w:val="20"/>
        </w:rPr>
        <w:t xml:space="preserve">face-to-face </w:t>
      </w:r>
      <w:r w:rsidR="00EB0E64" w:rsidRPr="0038164E">
        <w:rPr>
          <w:rFonts w:asciiTheme="minorBidi" w:hAnsiTheme="minorBidi"/>
          <w:sz w:val="20"/>
          <w:szCs w:val="20"/>
        </w:rPr>
        <w:t>‘interaction order’</w:t>
      </w:r>
      <w:r w:rsidR="003640BA" w:rsidRPr="0038164E">
        <w:rPr>
          <w:rFonts w:asciiTheme="minorBidi" w:hAnsiTheme="minorBidi"/>
          <w:sz w:val="20"/>
          <w:szCs w:val="20"/>
        </w:rPr>
        <w:t xml:space="preserve"> expression and gesture are highly revealing</w:t>
      </w:r>
      <w:r w:rsidR="00AF4C3D" w:rsidRPr="0038164E">
        <w:rPr>
          <w:rFonts w:asciiTheme="minorBidi" w:hAnsiTheme="minorBidi"/>
          <w:sz w:val="20"/>
          <w:szCs w:val="20"/>
        </w:rPr>
        <w:t xml:space="preserve">, co-bodily presence necessitates impression management and </w:t>
      </w:r>
      <w:r w:rsidR="003640BA" w:rsidRPr="0038164E">
        <w:rPr>
          <w:rFonts w:asciiTheme="minorBidi" w:hAnsiTheme="minorBidi"/>
          <w:sz w:val="20"/>
          <w:szCs w:val="20"/>
        </w:rPr>
        <w:t xml:space="preserve">'civil inattention' </w:t>
      </w:r>
      <w:r w:rsidR="00AF4C3D" w:rsidRPr="0038164E">
        <w:rPr>
          <w:rFonts w:asciiTheme="minorBidi" w:hAnsiTheme="minorBidi"/>
          <w:sz w:val="20"/>
          <w:szCs w:val="20"/>
        </w:rPr>
        <w:t xml:space="preserve">for </w:t>
      </w:r>
      <w:r w:rsidR="003640BA" w:rsidRPr="0038164E">
        <w:rPr>
          <w:rFonts w:asciiTheme="minorBidi" w:hAnsiTheme="minorBidi"/>
          <w:sz w:val="20"/>
          <w:szCs w:val="20"/>
        </w:rPr>
        <w:t xml:space="preserve">the </w:t>
      </w:r>
      <w:r w:rsidR="00AF4C3D" w:rsidRPr="0038164E">
        <w:rPr>
          <w:rFonts w:asciiTheme="minorBidi" w:hAnsiTheme="minorBidi"/>
          <w:sz w:val="20"/>
          <w:szCs w:val="20"/>
        </w:rPr>
        <w:t xml:space="preserve">avoidance of </w:t>
      </w:r>
      <w:r w:rsidR="00424C7B">
        <w:rPr>
          <w:rFonts w:asciiTheme="minorBidi" w:hAnsiTheme="minorBidi"/>
          <w:sz w:val="20"/>
          <w:szCs w:val="20"/>
        </w:rPr>
        <w:t>embarrassment.</w:t>
      </w:r>
    </w:p>
    <w:p w:rsidR="00987A6E" w:rsidRPr="0038164E" w:rsidRDefault="00424C7B" w:rsidP="00424C7B">
      <w:pPr>
        <w:spacing w:after="0" w:line="480" w:lineRule="auto"/>
        <w:ind w:firstLine="720"/>
        <w:rPr>
          <w:rFonts w:asciiTheme="minorBidi" w:hAnsiTheme="minorBidi"/>
          <w:sz w:val="20"/>
          <w:szCs w:val="20"/>
        </w:rPr>
      </w:pPr>
      <w:r w:rsidRPr="0038164E">
        <w:rPr>
          <w:rFonts w:asciiTheme="minorBidi" w:hAnsiTheme="minorBidi"/>
          <w:sz w:val="20"/>
          <w:szCs w:val="20"/>
        </w:rPr>
        <w:lastRenderedPageBreak/>
        <w:t>Lees-Ma</w:t>
      </w:r>
      <w:bookmarkStart w:id="0" w:name="_GoBack"/>
      <w:bookmarkEnd w:id="0"/>
      <w:r w:rsidRPr="0038164E">
        <w:rPr>
          <w:rFonts w:asciiTheme="minorBidi" w:hAnsiTheme="minorBidi"/>
          <w:sz w:val="20"/>
          <w:szCs w:val="20"/>
        </w:rPr>
        <w:t xml:space="preserve">ffei (2005) </w:t>
      </w:r>
      <w:r>
        <w:rPr>
          <w:rFonts w:asciiTheme="minorBidi" w:hAnsiTheme="minorBidi"/>
          <w:sz w:val="20"/>
          <w:szCs w:val="20"/>
        </w:rPr>
        <w:t xml:space="preserve">suggests </w:t>
      </w:r>
      <w:r w:rsidRPr="0038164E">
        <w:rPr>
          <w:rFonts w:asciiTheme="minorBidi" w:hAnsiTheme="minorBidi"/>
          <w:sz w:val="20"/>
          <w:szCs w:val="20"/>
        </w:rPr>
        <w:t xml:space="preserve">that Goffman's 1959 model of front and backstage </w:t>
      </w:r>
      <w:r>
        <w:rPr>
          <w:rFonts w:asciiTheme="minorBidi" w:hAnsiTheme="minorBidi"/>
          <w:sz w:val="20"/>
          <w:szCs w:val="20"/>
        </w:rPr>
        <w:t xml:space="preserve">is more suited to </w:t>
      </w:r>
      <w:r w:rsidRPr="0038164E">
        <w:rPr>
          <w:rFonts w:asciiTheme="minorBidi" w:hAnsiTheme="minorBidi"/>
          <w:sz w:val="20"/>
          <w:szCs w:val="20"/>
        </w:rPr>
        <w:t>the period prior to World War II</w:t>
      </w:r>
      <w:r>
        <w:rPr>
          <w:rFonts w:asciiTheme="minorBidi" w:hAnsiTheme="minorBidi"/>
          <w:sz w:val="20"/>
          <w:szCs w:val="20"/>
        </w:rPr>
        <w:t xml:space="preserve"> and that </w:t>
      </w:r>
      <w:r w:rsidRPr="0038164E">
        <w:rPr>
          <w:rFonts w:asciiTheme="minorBidi" w:hAnsiTheme="minorBidi"/>
          <w:sz w:val="20"/>
          <w:szCs w:val="20"/>
        </w:rPr>
        <w:t xml:space="preserve">Bourdieu's </w:t>
      </w:r>
      <w:r>
        <w:rPr>
          <w:rFonts w:asciiTheme="minorBidi" w:hAnsiTheme="minorBidi"/>
          <w:sz w:val="20"/>
          <w:szCs w:val="20"/>
        </w:rPr>
        <w:t xml:space="preserve">work on the </w:t>
      </w:r>
      <w:proofErr w:type="spellStart"/>
      <w:r>
        <w:rPr>
          <w:rFonts w:asciiTheme="minorBidi" w:hAnsiTheme="minorBidi"/>
          <w:sz w:val="20"/>
          <w:szCs w:val="20"/>
        </w:rPr>
        <w:t>aestheticization</w:t>
      </w:r>
      <w:proofErr w:type="spellEnd"/>
      <w:r>
        <w:rPr>
          <w:rFonts w:asciiTheme="minorBidi" w:hAnsiTheme="minorBidi"/>
          <w:sz w:val="20"/>
          <w:szCs w:val="20"/>
        </w:rPr>
        <w:t xml:space="preserve"> of everyday life better suits the post-war period </w:t>
      </w:r>
      <w:r w:rsidRPr="0038164E">
        <w:rPr>
          <w:rFonts w:asciiTheme="minorBidi" w:hAnsiTheme="minorBidi"/>
          <w:sz w:val="20"/>
          <w:szCs w:val="20"/>
        </w:rPr>
        <w:t>(Bourdieu, 1986 [1979]: 100).</w:t>
      </w:r>
      <w:r>
        <w:rPr>
          <w:rFonts w:asciiTheme="minorBidi" w:hAnsiTheme="minorBidi"/>
          <w:sz w:val="20"/>
          <w:szCs w:val="20"/>
        </w:rPr>
        <w:t xml:space="preserve"> </w:t>
      </w:r>
      <w:r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For </w:t>
      </w:r>
      <w:r w:rsidR="002F5C62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Richard </w:t>
      </w:r>
      <w:r w:rsidR="00EE48DF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Sennett </w:t>
      </w:r>
      <w:r w:rsidR="001D3603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(1973) </w:t>
      </w:r>
      <w:r w:rsidR="00B36801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Goffman's dramaturgical construct </w:t>
      </w:r>
      <w:r>
        <w:rPr>
          <w:rStyle w:val="Emphasis"/>
          <w:rFonts w:asciiTheme="minorBidi" w:hAnsiTheme="minorBidi"/>
          <w:i w:val="0"/>
          <w:iCs w:val="0"/>
          <w:sz w:val="20"/>
          <w:szCs w:val="20"/>
        </w:rPr>
        <w:t>w</w:t>
      </w:r>
      <w:r w:rsidR="00B36801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>as static</w:t>
      </w:r>
      <w:r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 and </w:t>
      </w:r>
      <w:r w:rsidR="00B36801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ahistorical </w:t>
      </w:r>
      <w:r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and, compared </w:t>
      </w:r>
      <w:r w:rsidR="003705EA" w:rsidRPr="0038164E">
        <w:rPr>
          <w:rFonts w:asciiTheme="minorBidi" w:hAnsiTheme="minorBidi"/>
          <w:sz w:val="20"/>
          <w:szCs w:val="20"/>
        </w:rPr>
        <w:t xml:space="preserve">with David Riesman's ‘other-directed man’ and Robert J. </w:t>
      </w:r>
      <w:proofErr w:type="spellStart"/>
      <w:r w:rsidR="003705EA" w:rsidRPr="0038164E">
        <w:rPr>
          <w:rFonts w:asciiTheme="minorBidi" w:hAnsiTheme="minorBidi"/>
          <w:sz w:val="20"/>
          <w:szCs w:val="20"/>
        </w:rPr>
        <w:t>Lifton's</w:t>
      </w:r>
      <w:proofErr w:type="spellEnd"/>
      <w:r w:rsidR="003705EA" w:rsidRPr="0038164E">
        <w:rPr>
          <w:rFonts w:asciiTheme="minorBidi" w:hAnsiTheme="minorBidi"/>
          <w:sz w:val="20"/>
          <w:szCs w:val="20"/>
        </w:rPr>
        <w:t xml:space="preserve"> ‘protean </w:t>
      </w:r>
      <w:r>
        <w:rPr>
          <w:rFonts w:asciiTheme="minorBidi" w:hAnsiTheme="minorBidi"/>
          <w:sz w:val="20"/>
          <w:szCs w:val="20"/>
        </w:rPr>
        <w:t>man’</w:t>
      </w:r>
      <w:r w:rsidR="003705EA" w:rsidRPr="0038164E">
        <w:rPr>
          <w:rFonts w:asciiTheme="minorBidi" w:hAnsiTheme="minorBidi"/>
          <w:sz w:val="20"/>
          <w:szCs w:val="20"/>
        </w:rPr>
        <w:t xml:space="preserve">, Goffman's ‘juggler’ lacked </w:t>
      </w:r>
      <w:r w:rsidR="001D3603" w:rsidRPr="0038164E">
        <w:rPr>
          <w:rFonts w:asciiTheme="minorBidi" w:hAnsiTheme="minorBidi"/>
          <w:sz w:val="20"/>
          <w:szCs w:val="20"/>
        </w:rPr>
        <w:t xml:space="preserve">a real, complex, self </w:t>
      </w:r>
      <w:r w:rsidR="003705EA" w:rsidRPr="0038164E">
        <w:rPr>
          <w:rFonts w:asciiTheme="minorBidi" w:hAnsiTheme="minorBidi"/>
          <w:sz w:val="20"/>
          <w:szCs w:val="20"/>
        </w:rPr>
        <w:t xml:space="preserve">and </w:t>
      </w:r>
      <w:r w:rsidR="001D3603" w:rsidRPr="0038164E">
        <w:rPr>
          <w:rFonts w:asciiTheme="minorBidi" w:hAnsiTheme="minorBidi"/>
          <w:sz w:val="20"/>
          <w:szCs w:val="20"/>
        </w:rPr>
        <w:t xml:space="preserve">merely </w:t>
      </w:r>
      <w:r>
        <w:rPr>
          <w:rFonts w:asciiTheme="minorBidi" w:hAnsiTheme="minorBidi"/>
          <w:sz w:val="20"/>
          <w:szCs w:val="20"/>
        </w:rPr>
        <w:t xml:space="preserve">managed </w:t>
      </w:r>
      <w:r w:rsidR="00DF53B4" w:rsidRPr="0038164E">
        <w:rPr>
          <w:rFonts w:asciiTheme="minorBidi" w:hAnsiTheme="minorBidi"/>
          <w:sz w:val="20"/>
          <w:szCs w:val="20"/>
        </w:rPr>
        <w:t>various roles convincingly.</w:t>
      </w:r>
      <w:r w:rsidR="006E0B25" w:rsidRPr="0038164E">
        <w:rPr>
          <w:rFonts w:asciiTheme="minorBidi" w:hAnsiTheme="minorBidi"/>
          <w:sz w:val="20"/>
          <w:szCs w:val="20"/>
        </w:rPr>
        <w:t xml:space="preserve"> </w:t>
      </w:r>
      <w:proofErr w:type="gramStart"/>
      <w:r w:rsidR="00EE48DF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Arlie Russell </w:t>
      </w:r>
      <w:proofErr w:type="spellStart"/>
      <w:r w:rsidR="00EE48DF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>Hochschild</w:t>
      </w:r>
      <w:proofErr w:type="spellEnd"/>
      <w:r w:rsidR="0002079B"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 (</w:t>
      </w:r>
      <w:r w:rsidR="00A91033" w:rsidRPr="0038164E">
        <w:rPr>
          <w:rStyle w:val="Emphasis"/>
          <w:rFonts w:asciiTheme="minorBidi" w:hAnsiTheme="minorBidi"/>
          <w:i w:val="0"/>
          <w:iCs w:val="0"/>
          <w:sz w:val="20"/>
          <w:szCs w:val="20"/>
        </w:rPr>
        <w:t>1998)</w:t>
      </w:r>
      <w:r>
        <w:rPr>
          <w:rStyle w:val="Emphasis"/>
          <w:rFonts w:asciiTheme="minorBidi" w:hAnsiTheme="minorBidi"/>
          <w:i w:val="0"/>
          <w:iCs w:val="0"/>
          <w:sz w:val="20"/>
          <w:szCs w:val="20"/>
        </w:rPr>
        <w:t xml:space="preserve"> </w:t>
      </w:r>
      <w:r w:rsidR="006E0B25" w:rsidRPr="0038164E">
        <w:rPr>
          <w:rFonts w:asciiTheme="minorBidi" w:hAnsiTheme="minorBidi"/>
          <w:sz w:val="20"/>
          <w:szCs w:val="20"/>
        </w:rPr>
        <w:t xml:space="preserve">notes that although Goffman’s conception of self allows for the management of emotions, it is a </w:t>
      </w:r>
      <w:proofErr w:type="spellStart"/>
      <w:r w:rsidR="006E0B25" w:rsidRPr="0038164E">
        <w:rPr>
          <w:rFonts w:asciiTheme="minorBidi" w:hAnsiTheme="minorBidi"/>
          <w:sz w:val="20"/>
          <w:szCs w:val="20"/>
        </w:rPr>
        <w:t>self known</w:t>
      </w:r>
      <w:proofErr w:type="spellEnd"/>
      <w:r w:rsidR="006E0B25" w:rsidRPr="0038164E">
        <w:rPr>
          <w:rFonts w:asciiTheme="minorBidi" w:hAnsiTheme="minorBidi"/>
          <w:sz w:val="20"/>
          <w:szCs w:val="20"/>
        </w:rPr>
        <w:t xml:space="preserve"> only through performance, and is therefore always unfinished.</w:t>
      </w:r>
      <w:proofErr w:type="gramEnd"/>
      <w:r w:rsidR="00EE48DF" w:rsidRPr="0038164E">
        <w:rPr>
          <w:rStyle w:val="EndnoteReference"/>
          <w:rFonts w:asciiTheme="minorBidi" w:hAnsiTheme="minorBidi"/>
          <w:b/>
          <w:sz w:val="20"/>
          <w:szCs w:val="20"/>
        </w:rPr>
        <w:t xml:space="preserve"> </w:t>
      </w:r>
      <w:r w:rsidR="0002079B">
        <w:rPr>
          <w:rFonts w:asciiTheme="minorBidi" w:hAnsiTheme="minorBidi"/>
          <w:bCs/>
          <w:sz w:val="20"/>
          <w:szCs w:val="20"/>
        </w:rPr>
        <w:t>O</w:t>
      </w:r>
      <w:r w:rsidR="00AC250B" w:rsidRPr="0038164E">
        <w:rPr>
          <w:rFonts w:asciiTheme="minorBidi" w:hAnsiTheme="minorBidi"/>
          <w:bCs/>
          <w:sz w:val="20"/>
          <w:szCs w:val="20"/>
        </w:rPr>
        <w:t>thers see</w:t>
      </w:r>
      <w:r w:rsidR="00AC250B" w:rsidRPr="0038164E">
        <w:rPr>
          <w:rFonts w:asciiTheme="minorBidi" w:hAnsiTheme="minorBidi"/>
          <w:b/>
          <w:sz w:val="20"/>
          <w:szCs w:val="20"/>
        </w:rPr>
        <w:t xml:space="preserve"> </w:t>
      </w:r>
      <w:r w:rsidR="00987A6E" w:rsidRPr="0038164E">
        <w:rPr>
          <w:rFonts w:asciiTheme="minorBidi" w:hAnsiTheme="minorBidi"/>
          <w:sz w:val="20"/>
          <w:szCs w:val="20"/>
        </w:rPr>
        <w:t xml:space="preserve">Goffman’s emphasis on </w:t>
      </w:r>
      <w:r w:rsidR="00291C66" w:rsidRPr="0038164E">
        <w:rPr>
          <w:rFonts w:asciiTheme="minorBidi" w:hAnsiTheme="minorBidi"/>
          <w:sz w:val="20"/>
          <w:szCs w:val="20"/>
        </w:rPr>
        <w:t>the importance of objects in social interaction</w:t>
      </w:r>
      <w:r w:rsidR="00987A6E" w:rsidRPr="0038164E">
        <w:rPr>
          <w:rFonts w:asciiTheme="minorBidi" w:hAnsiTheme="minorBidi"/>
          <w:sz w:val="20"/>
          <w:szCs w:val="20"/>
        </w:rPr>
        <w:t xml:space="preserve"> </w:t>
      </w:r>
      <w:r w:rsidR="0002079B">
        <w:rPr>
          <w:rFonts w:asciiTheme="minorBidi" w:hAnsiTheme="minorBidi"/>
          <w:sz w:val="20"/>
          <w:szCs w:val="20"/>
        </w:rPr>
        <w:t xml:space="preserve">as </w:t>
      </w:r>
      <w:r w:rsidR="00987A6E" w:rsidRPr="0038164E">
        <w:rPr>
          <w:rFonts w:asciiTheme="minorBidi" w:hAnsiTheme="minorBidi"/>
          <w:sz w:val="20"/>
          <w:szCs w:val="20"/>
        </w:rPr>
        <w:t>conflict</w:t>
      </w:r>
      <w:r w:rsidR="0002079B">
        <w:rPr>
          <w:rFonts w:asciiTheme="minorBidi" w:hAnsiTheme="minorBidi"/>
          <w:sz w:val="20"/>
          <w:szCs w:val="20"/>
        </w:rPr>
        <w:t>ing</w:t>
      </w:r>
      <w:r w:rsidR="00987A6E" w:rsidRPr="0038164E">
        <w:rPr>
          <w:rFonts w:asciiTheme="minorBidi" w:hAnsiTheme="minorBidi"/>
          <w:sz w:val="20"/>
          <w:szCs w:val="20"/>
        </w:rPr>
        <w:t xml:space="preserve"> with the </w:t>
      </w:r>
      <w:r w:rsidR="00291C66" w:rsidRPr="0038164E">
        <w:rPr>
          <w:rFonts w:asciiTheme="minorBidi" w:hAnsiTheme="minorBidi"/>
          <w:sz w:val="20"/>
          <w:szCs w:val="20"/>
        </w:rPr>
        <w:t>symbolic interactionis</w:t>
      </w:r>
      <w:r w:rsidR="00987A6E" w:rsidRPr="0038164E">
        <w:rPr>
          <w:rFonts w:asciiTheme="minorBidi" w:hAnsiTheme="minorBidi"/>
          <w:sz w:val="20"/>
          <w:szCs w:val="20"/>
        </w:rPr>
        <w:t xml:space="preserve">t view of </w:t>
      </w:r>
      <w:r w:rsidR="00291C66" w:rsidRPr="0038164E">
        <w:rPr>
          <w:rFonts w:asciiTheme="minorBidi" w:hAnsiTheme="minorBidi"/>
          <w:sz w:val="20"/>
          <w:szCs w:val="20"/>
        </w:rPr>
        <w:t xml:space="preserve">the self </w:t>
      </w:r>
      <w:r w:rsidR="00987A6E" w:rsidRPr="0038164E">
        <w:rPr>
          <w:rFonts w:asciiTheme="minorBidi" w:hAnsiTheme="minorBidi"/>
          <w:sz w:val="20"/>
          <w:szCs w:val="20"/>
        </w:rPr>
        <w:t>as always ‘in the making’</w:t>
      </w:r>
      <w:r w:rsidR="00565EE2" w:rsidRPr="0038164E">
        <w:rPr>
          <w:rFonts w:asciiTheme="minorBidi" w:hAnsiTheme="minorBidi"/>
          <w:sz w:val="20"/>
          <w:szCs w:val="20"/>
        </w:rPr>
        <w:t xml:space="preserve"> (Riggins, 1990: 346)</w:t>
      </w:r>
      <w:r w:rsidR="00291C66" w:rsidRPr="0038164E">
        <w:rPr>
          <w:rFonts w:asciiTheme="minorBidi" w:hAnsiTheme="minorBidi"/>
          <w:sz w:val="20"/>
          <w:szCs w:val="20"/>
        </w:rPr>
        <w:t>.</w:t>
      </w:r>
      <w:r w:rsidR="00AC250B" w:rsidRPr="0038164E">
        <w:rPr>
          <w:rFonts w:asciiTheme="minorBidi" w:hAnsiTheme="minorBidi"/>
          <w:sz w:val="20"/>
          <w:szCs w:val="20"/>
        </w:rPr>
        <w:t xml:space="preserve"> </w:t>
      </w:r>
    </w:p>
    <w:p w:rsidR="00424C7B" w:rsidRDefault="00424C7B" w:rsidP="00424C7B">
      <w:pPr>
        <w:spacing w:after="0" w:line="480" w:lineRule="auto"/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</w:t>
      </w:r>
      <w:r w:rsidRPr="0038164E">
        <w:rPr>
          <w:rFonts w:asciiTheme="minorBidi" w:hAnsiTheme="minorBidi"/>
          <w:sz w:val="20"/>
          <w:szCs w:val="20"/>
        </w:rPr>
        <w:t xml:space="preserve">esign historians may also be interested in </w:t>
      </w:r>
      <w:r w:rsidRPr="0038164E">
        <w:rPr>
          <w:rFonts w:asciiTheme="minorBidi" w:hAnsiTheme="minorBidi"/>
          <w:i/>
          <w:iCs/>
          <w:sz w:val="20"/>
          <w:szCs w:val="20"/>
        </w:rPr>
        <w:t>Asylums</w:t>
      </w:r>
      <w:r w:rsidRPr="0038164E">
        <w:rPr>
          <w:rFonts w:asciiTheme="minorBidi" w:hAnsiTheme="minorBidi"/>
          <w:sz w:val="20"/>
          <w:szCs w:val="20"/>
        </w:rPr>
        <w:t xml:space="preserve"> (1961) which popularised the notion of the ‘total institution’, and in the influence of his 1969 book </w:t>
      </w:r>
      <w:r w:rsidRPr="0038164E">
        <w:rPr>
          <w:rFonts w:asciiTheme="minorBidi" w:hAnsiTheme="minorBidi"/>
          <w:i/>
          <w:iCs/>
          <w:sz w:val="20"/>
          <w:szCs w:val="20"/>
        </w:rPr>
        <w:t>Strategic Interaction</w:t>
      </w:r>
      <w:r w:rsidRPr="0038164E">
        <w:rPr>
          <w:rFonts w:asciiTheme="minorBidi" w:hAnsiTheme="minorBidi"/>
          <w:sz w:val="20"/>
          <w:szCs w:val="20"/>
        </w:rPr>
        <w:t xml:space="preserve"> on game theory,</w:t>
      </w:r>
      <w:r w:rsidRPr="0038164E">
        <w:rPr>
          <w:rFonts w:asciiTheme="minorBidi" w:hAnsiTheme="minorBidi"/>
          <w:i/>
          <w:iCs/>
          <w:sz w:val="20"/>
          <w:szCs w:val="20"/>
        </w:rPr>
        <w:t xml:space="preserve"> </w:t>
      </w:r>
      <w:r w:rsidRPr="0038164E">
        <w:rPr>
          <w:rFonts w:asciiTheme="minorBidi" w:hAnsiTheme="minorBidi"/>
          <w:sz w:val="20"/>
          <w:szCs w:val="20"/>
        </w:rPr>
        <w:t>as well as</w:t>
      </w:r>
      <w:r w:rsidRPr="0038164E">
        <w:rPr>
          <w:rFonts w:asciiTheme="minorBidi" w:hAnsiTheme="minorBidi"/>
          <w:i/>
          <w:iCs/>
          <w:sz w:val="20"/>
          <w:szCs w:val="20"/>
        </w:rPr>
        <w:t xml:space="preserve"> Frame Analysis: An Essay on the Organization of Experience</w:t>
      </w:r>
      <w:r w:rsidRPr="0038164E">
        <w:rPr>
          <w:rFonts w:asciiTheme="minorBidi" w:hAnsiTheme="minorBidi"/>
          <w:sz w:val="20"/>
          <w:szCs w:val="20"/>
        </w:rPr>
        <w:t xml:space="preserve"> (1974) and </w:t>
      </w:r>
      <w:r w:rsidRPr="0038164E">
        <w:rPr>
          <w:rFonts w:asciiTheme="minorBidi" w:hAnsiTheme="minorBidi"/>
          <w:i/>
          <w:iCs/>
          <w:sz w:val="20"/>
          <w:szCs w:val="20"/>
        </w:rPr>
        <w:t>Gender Advertisements</w:t>
      </w:r>
      <w:r w:rsidRPr="0038164E">
        <w:rPr>
          <w:rFonts w:asciiTheme="minorBidi" w:hAnsiTheme="minorBidi"/>
          <w:sz w:val="20"/>
          <w:szCs w:val="20"/>
        </w:rPr>
        <w:t xml:space="preserve"> (1979).</w:t>
      </w:r>
    </w:p>
    <w:p w:rsidR="00FB2978" w:rsidRDefault="00FB2978" w:rsidP="0038164E">
      <w:pPr>
        <w:rPr>
          <w:rFonts w:asciiTheme="minorBidi" w:hAnsiTheme="minorBidi"/>
          <w:b/>
          <w:bCs/>
          <w:sz w:val="20"/>
          <w:szCs w:val="20"/>
        </w:rPr>
      </w:pPr>
    </w:p>
    <w:p w:rsidR="00DF53B4" w:rsidRPr="0038164E" w:rsidRDefault="003705EA" w:rsidP="0038164E">
      <w:pPr>
        <w:rPr>
          <w:rFonts w:asciiTheme="minorBidi" w:hAnsiTheme="minorBidi"/>
          <w:b/>
          <w:bCs/>
          <w:sz w:val="20"/>
          <w:szCs w:val="20"/>
        </w:rPr>
      </w:pPr>
      <w:r w:rsidRPr="0038164E">
        <w:rPr>
          <w:rFonts w:asciiTheme="minorBidi" w:hAnsiTheme="minorBidi"/>
          <w:b/>
          <w:bCs/>
          <w:sz w:val="20"/>
          <w:szCs w:val="20"/>
        </w:rPr>
        <w:t>References</w:t>
      </w:r>
    </w:p>
    <w:p w:rsidR="00FB2978" w:rsidRPr="00D341B9" w:rsidRDefault="00FB2978" w:rsidP="00FB2978">
      <w:pPr>
        <w:spacing w:after="0" w:line="480" w:lineRule="auto"/>
        <w:ind w:left="567" w:hanging="567"/>
        <w:rPr>
          <w:rFonts w:asciiTheme="minorBidi" w:hAnsiTheme="minorBidi"/>
          <w:sz w:val="20"/>
          <w:szCs w:val="20"/>
        </w:rPr>
      </w:pPr>
      <w:r w:rsidRPr="00D341B9">
        <w:rPr>
          <w:rFonts w:asciiTheme="minorBidi" w:hAnsiTheme="minorBidi"/>
          <w:sz w:val="20"/>
          <w:szCs w:val="20"/>
        </w:rPr>
        <w:t xml:space="preserve">Bourdieu, Pierre (1984 [1979]) </w:t>
      </w:r>
      <w:r w:rsidRPr="00D341B9">
        <w:rPr>
          <w:rFonts w:asciiTheme="minorBidi" w:hAnsiTheme="minorBidi"/>
          <w:i/>
          <w:iCs/>
          <w:sz w:val="20"/>
          <w:szCs w:val="20"/>
        </w:rPr>
        <w:t>Distinction: a social critique of the judgement of taste</w:t>
      </w:r>
      <w:r w:rsidRPr="00D341B9">
        <w:rPr>
          <w:rFonts w:asciiTheme="minorBidi" w:hAnsiTheme="minorBidi"/>
          <w:sz w:val="20"/>
          <w:szCs w:val="20"/>
        </w:rPr>
        <w:t>. Cambridge, Mass.: Harvard University Press.</w:t>
      </w:r>
    </w:p>
    <w:p w:rsidR="00D91BA7" w:rsidRPr="00D341B9" w:rsidRDefault="00D91BA7" w:rsidP="0038164E">
      <w:pPr>
        <w:spacing w:after="0" w:line="480" w:lineRule="auto"/>
        <w:ind w:left="567" w:hanging="567"/>
        <w:rPr>
          <w:rFonts w:asciiTheme="minorBidi" w:hAnsiTheme="minorBidi"/>
          <w:sz w:val="20"/>
          <w:szCs w:val="20"/>
        </w:rPr>
      </w:pPr>
      <w:r w:rsidRPr="00D341B9">
        <w:rPr>
          <w:rFonts w:asciiTheme="minorBidi" w:hAnsiTheme="minorBidi"/>
          <w:sz w:val="20"/>
          <w:szCs w:val="20"/>
        </w:rPr>
        <w:t xml:space="preserve">Clark, Hazel and David Brody, eds. (2009) </w:t>
      </w:r>
      <w:r w:rsidRPr="00D341B9">
        <w:rPr>
          <w:rFonts w:asciiTheme="minorBidi" w:hAnsiTheme="minorBidi"/>
          <w:i/>
          <w:iCs/>
          <w:sz w:val="20"/>
          <w:szCs w:val="20"/>
        </w:rPr>
        <w:t>Design Studies: A Reader</w:t>
      </w:r>
      <w:r w:rsidRPr="00D341B9">
        <w:rPr>
          <w:rFonts w:asciiTheme="minorBidi" w:hAnsiTheme="minorBidi"/>
          <w:sz w:val="20"/>
          <w:szCs w:val="20"/>
        </w:rPr>
        <w:t xml:space="preserve"> (Oxford: Berg).</w:t>
      </w:r>
    </w:p>
    <w:p w:rsidR="00A91033" w:rsidRPr="00D341B9" w:rsidRDefault="00A36AAD" w:rsidP="00A36AAD">
      <w:pPr>
        <w:spacing w:after="0" w:line="480" w:lineRule="auto"/>
        <w:ind w:left="567" w:hanging="567"/>
        <w:rPr>
          <w:rFonts w:asciiTheme="minorBidi" w:hAnsiTheme="minorBidi"/>
          <w:sz w:val="20"/>
          <w:szCs w:val="20"/>
        </w:rPr>
      </w:pPr>
      <w:proofErr w:type="spellStart"/>
      <w:r w:rsidRPr="00D341B9">
        <w:rPr>
          <w:rFonts w:asciiTheme="minorBidi" w:hAnsiTheme="minorBidi"/>
          <w:sz w:val="20"/>
          <w:szCs w:val="20"/>
        </w:rPr>
        <w:t>Hochschild</w:t>
      </w:r>
      <w:proofErr w:type="spellEnd"/>
      <w:r w:rsidRPr="00D341B9">
        <w:rPr>
          <w:rFonts w:asciiTheme="minorBidi" w:hAnsiTheme="minorBidi"/>
          <w:sz w:val="20"/>
          <w:szCs w:val="20"/>
        </w:rPr>
        <w:t xml:space="preserve">, Arlie Russell (1998) </w:t>
      </w:r>
      <w:r w:rsidR="00A91033" w:rsidRPr="00D341B9">
        <w:rPr>
          <w:rFonts w:asciiTheme="minorBidi" w:hAnsiTheme="minorBidi"/>
          <w:sz w:val="20"/>
          <w:szCs w:val="20"/>
        </w:rPr>
        <w:t>‘The Sociology of Emotion as a Way of Seeing’,</w:t>
      </w:r>
      <w:r w:rsidR="00BB4474" w:rsidRPr="00D341B9">
        <w:rPr>
          <w:rFonts w:asciiTheme="minorBidi" w:hAnsiTheme="minorBidi"/>
          <w:sz w:val="20"/>
          <w:szCs w:val="20"/>
        </w:rPr>
        <w:t xml:space="preserve"> In</w:t>
      </w:r>
      <w:r w:rsidR="00A91033" w:rsidRPr="00D341B9">
        <w:rPr>
          <w:rFonts w:asciiTheme="minorBidi" w:hAnsiTheme="minorBidi"/>
          <w:sz w:val="20"/>
          <w:szCs w:val="20"/>
        </w:rPr>
        <w:t xml:space="preserve"> </w:t>
      </w:r>
      <w:r w:rsidR="00A91033" w:rsidRPr="00D341B9">
        <w:rPr>
          <w:rFonts w:asciiTheme="minorBidi" w:hAnsiTheme="minorBidi"/>
          <w:i/>
          <w:sz w:val="20"/>
          <w:szCs w:val="20"/>
        </w:rPr>
        <w:t>Emotions in Social Life: Critical Themes and Contemporary Issues</w:t>
      </w:r>
      <w:r w:rsidR="00A91033" w:rsidRPr="00D341B9">
        <w:rPr>
          <w:rFonts w:asciiTheme="minorBidi" w:hAnsiTheme="minorBidi"/>
          <w:sz w:val="20"/>
          <w:szCs w:val="20"/>
        </w:rPr>
        <w:t xml:space="preserve">, ed. G. </w:t>
      </w:r>
      <w:proofErr w:type="spellStart"/>
      <w:r w:rsidR="00A91033" w:rsidRPr="00D341B9">
        <w:rPr>
          <w:rFonts w:asciiTheme="minorBidi" w:hAnsiTheme="minorBidi"/>
          <w:sz w:val="20"/>
          <w:szCs w:val="20"/>
        </w:rPr>
        <w:t>Bendelow</w:t>
      </w:r>
      <w:proofErr w:type="spellEnd"/>
      <w:r w:rsidR="00A91033" w:rsidRPr="00D341B9">
        <w:rPr>
          <w:rFonts w:asciiTheme="minorBidi" w:hAnsiTheme="minorBidi"/>
          <w:sz w:val="20"/>
          <w:szCs w:val="20"/>
        </w:rPr>
        <w:t xml:space="preserve">, and S. J. Williams, </w:t>
      </w:r>
      <w:r w:rsidRPr="00D341B9">
        <w:rPr>
          <w:rFonts w:asciiTheme="minorBidi" w:hAnsiTheme="minorBidi"/>
          <w:sz w:val="20"/>
          <w:szCs w:val="20"/>
        </w:rPr>
        <w:t>pp. 3-15 (</w:t>
      </w:r>
      <w:r w:rsidR="00A91033" w:rsidRPr="00D341B9">
        <w:rPr>
          <w:rFonts w:asciiTheme="minorBidi" w:hAnsiTheme="minorBidi"/>
          <w:sz w:val="20"/>
          <w:szCs w:val="20"/>
        </w:rPr>
        <w:t>London: Routledge</w:t>
      </w:r>
      <w:r w:rsidRPr="00D341B9">
        <w:rPr>
          <w:rFonts w:asciiTheme="minorBidi" w:hAnsiTheme="minorBidi"/>
          <w:sz w:val="20"/>
          <w:szCs w:val="20"/>
        </w:rPr>
        <w:t>).</w:t>
      </w:r>
    </w:p>
    <w:p w:rsidR="007A167C" w:rsidRPr="00D341B9" w:rsidRDefault="007A167C" w:rsidP="0038164E">
      <w:pPr>
        <w:spacing w:after="0" w:line="480" w:lineRule="auto"/>
        <w:ind w:left="567" w:hanging="567"/>
        <w:rPr>
          <w:rFonts w:asciiTheme="minorBidi" w:hAnsiTheme="minorBidi"/>
          <w:sz w:val="20"/>
          <w:szCs w:val="20"/>
        </w:rPr>
      </w:pPr>
      <w:r w:rsidRPr="00D341B9">
        <w:rPr>
          <w:rFonts w:asciiTheme="minorBidi" w:hAnsiTheme="minorBidi"/>
          <w:sz w:val="20"/>
          <w:szCs w:val="20"/>
        </w:rPr>
        <w:t>Lees-Maffei, Grace (2005) ‘Modern Living: Domestic Advice Literature and Design Discourse in Post-War Britain’, Unpublished PhD, University of Portsmouth.</w:t>
      </w:r>
    </w:p>
    <w:p w:rsidR="0092720E" w:rsidRPr="00D341B9" w:rsidRDefault="00565EE2" w:rsidP="00BB4474">
      <w:pPr>
        <w:spacing w:after="0" w:line="480" w:lineRule="auto"/>
        <w:ind w:left="567" w:hanging="567"/>
        <w:rPr>
          <w:rFonts w:asciiTheme="minorBidi" w:hAnsiTheme="minorBidi"/>
          <w:sz w:val="20"/>
          <w:szCs w:val="20"/>
        </w:rPr>
      </w:pPr>
      <w:r w:rsidRPr="00D341B9">
        <w:rPr>
          <w:rFonts w:asciiTheme="minorBidi" w:hAnsiTheme="minorBidi"/>
          <w:sz w:val="20"/>
          <w:szCs w:val="20"/>
        </w:rPr>
        <w:t xml:space="preserve">Riggins, Stephen Harold (1990) ‘The Power of Things: The Role of Domestic Objects in the Presentation of Self’, </w:t>
      </w:r>
      <w:r w:rsidR="00BB4474" w:rsidRPr="00D341B9">
        <w:rPr>
          <w:rFonts w:asciiTheme="minorBidi" w:hAnsiTheme="minorBidi"/>
          <w:sz w:val="20"/>
          <w:szCs w:val="20"/>
        </w:rPr>
        <w:t xml:space="preserve">In </w:t>
      </w:r>
      <w:proofErr w:type="gramStart"/>
      <w:r w:rsidR="00BB4474" w:rsidRPr="00D341B9">
        <w:rPr>
          <w:rFonts w:asciiTheme="minorBidi" w:hAnsiTheme="minorBidi"/>
          <w:i/>
          <w:sz w:val="20"/>
          <w:szCs w:val="20"/>
        </w:rPr>
        <w:t>Beyond</w:t>
      </w:r>
      <w:proofErr w:type="gramEnd"/>
      <w:r w:rsidR="00BB4474" w:rsidRPr="00D341B9">
        <w:rPr>
          <w:rFonts w:asciiTheme="minorBidi" w:hAnsiTheme="minorBidi"/>
          <w:i/>
          <w:sz w:val="20"/>
          <w:szCs w:val="20"/>
        </w:rPr>
        <w:t xml:space="preserve"> Goffman: Studies on Communication, Institution, and Social Interaction</w:t>
      </w:r>
      <w:r w:rsidR="00BB4474" w:rsidRPr="00D341B9">
        <w:rPr>
          <w:rFonts w:asciiTheme="minorBidi" w:hAnsiTheme="minorBidi"/>
          <w:sz w:val="20"/>
          <w:szCs w:val="20"/>
        </w:rPr>
        <w:t xml:space="preserve">, ed. Stephen H. Riggins, pp. 341-367 (Berlin and New York: Mouton de </w:t>
      </w:r>
      <w:proofErr w:type="spellStart"/>
      <w:r w:rsidR="00BB4474" w:rsidRPr="00D341B9">
        <w:rPr>
          <w:rFonts w:asciiTheme="minorBidi" w:hAnsiTheme="minorBidi"/>
          <w:sz w:val="20"/>
          <w:szCs w:val="20"/>
        </w:rPr>
        <w:t>Gruyter</w:t>
      </w:r>
      <w:proofErr w:type="spellEnd"/>
      <w:r w:rsidR="00BB4474" w:rsidRPr="00D341B9">
        <w:rPr>
          <w:rFonts w:asciiTheme="minorBidi" w:hAnsiTheme="minorBidi"/>
          <w:sz w:val="20"/>
          <w:szCs w:val="20"/>
        </w:rPr>
        <w:t>)</w:t>
      </w:r>
      <w:r w:rsidRPr="00D341B9">
        <w:rPr>
          <w:rFonts w:asciiTheme="minorBidi" w:hAnsiTheme="minorBidi"/>
          <w:sz w:val="20"/>
          <w:szCs w:val="20"/>
        </w:rPr>
        <w:t xml:space="preserve">. </w:t>
      </w:r>
    </w:p>
    <w:p w:rsidR="003705EA" w:rsidRPr="0038164E" w:rsidRDefault="003705EA" w:rsidP="00A36AAD">
      <w:pPr>
        <w:spacing w:after="0" w:line="480" w:lineRule="auto"/>
        <w:ind w:left="567" w:hanging="567"/>
        <w:rPr>
          <w:rFonts w:asciiTheme="minorBidi" w:hAnsiTheme="minorBidi"/>
          <w:sz w:val="20"/>
          <w:szCs w:val="20"/>
        </w:rPr>
      </w:pPr>
      <w:r w:rsidRPr="00D341B9">
        <w:rPr>
          <w:rFonts w:asciiTheme="minorBidi" w:hAnsiTheme="minorBidi"/>
          <w:sz w:val="20"/>
          <w:szCs w:val="20"/>
        </w:rPr>
        <w:t xml:space="preserve">Sennett, Richard (1973) </w:t>
      </w:r>
      <w:r w:rsidR="00A36AAD" w:rsidRPr="00D341B9">
        <w:rPr>
          <w:rFonts w:asciiTheme="minorBidi" w:hAnsiTheme="minorBidi"/>
          <w:sz w:val="20"/>
          <w:szCs w:val="20"/>
        </w:rPr>
        <w:t>'Two on the Aisle' Review E</w:t>
      </w:r>
      <w:r w:rsidRPr="00D341B9">
        <w:rPr>
          <w:rFonts w:asciiTheme="minorBidi" w:hAnsiTheme="minorBidi"/>
          <w:sz w:val="20"/>
          <w:szCs w:val="20"/>
        </w:rPr>
        <w:t xml:space="preserve">ssay </w:t>
      </w:r>
      <w:r w:rsidRPr="00D341B9">
        <w:rPr>
          <w:rFonts w:asciiTheme="minorBidi" w:hAnsiTheme="minorBidi"/>
          <w:i/>
          <w:iCs/>
          <w:sz w:val="20"/>
          <w:szCs w:val="20"/>
        </w:rPr>
        <w:t>New York Review of Books</w:t>
      </w:r>
      <w:r w:rsidR="00A36AAD" w:rsidRPr="00D341B9">
        <w:rPr>
          <w:rFonts w:asciiTheme="minorBidi" w:hAnsiTheme="minorBidi"/>
          <w:i/>
          <w:iCs/>
          <w:sz w:val="20"/>
          <w:szCs w:val="20"/>
        </w:rPr>
        <w:t xml:space="preserve"> </w:t>
      </w:r>
      <w:r w:rsidRPr="00D341B9">
        <w:rPr>
          <w:rFonts w:asciiTheme="minorBidi" w:hAnsiTheme="minorBidi"/>
          <w:sz w:val="20"/>
          <w:szCs w:val="20"/>
        </w:rPr>
        <w:t>20, no. 17, (1 November).</w:t>
      </w:r>
    </w:p>
    <w:p w:rsidR="00FB2978" w:rsidRDefault="00FB2978" w:rsidP="0038164E">
      <w:pPr>
        <w:spacing w:after="0" w:line="480" w:lineRule="auto"/>
        <w:rPr>
          <w:rFonts w:asciiTheme="minorBidi" w:hAnsiTheme="minorBidi"/>
          <w:b/>
          <w:bCs/>
          <w:sz w:val="20"/>
          <w:szCs w:val="20"/>
        </w:rPr>
      </w:pPr>
    </w:p>
    <w:p w:rsidR="00AF4C3D" w:rsidRPr="0038164E" w:rsidRDefault="00DF53B4" w:rsidP="0038164E">
      <w:pPr>
        <w:spacing w:after="0" w:line="480" w:lineRule="auto"/>
        <w:rPr>
          <w:rFonts w:asciiTheme="minorBidi" w:hAnsiTheme="minorBidi"/>
          <w:b/>
          <w:bCs/>
          <w:sz w:val="20"/>
          <w:szCs w:val="20"/>
        </w:rPr>
      </w:pPr>
      <w:r w:rsidRPr="0038164E">
        <w:rPr>
          <w:rFonts w:asciiTheme="minorBidi" w:hAnsiTheme="minorBidi"/>
          <w:b/>
          <w:bCs/>
          <w:sz w:val="20"/>
          <w:szCs w:val="20"/>
        </w:rPr>
        <w:lastRenderedPageBreak/>
        <w:t xml:space="preserve">See: </w:t>
      </w:r>
    </w:p>
    <w:p w:rsidR="00906DC6" w:rsidRPr="0038164E" w:rsidRDefault="00DF53B4" w:rsidP="0038164E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38164E">
        <w:rPr>
          <w:rFonts w:asciiTheme="minorBidi" w:hAnsiTheme="minorBidi"/>
          <w:sz w:val="20"/>
          <w:szCs w:val="20"/>
        </w:rPr>
        <w:t xml:space="preserve">Goffman, Erving (1990 [1959]) </w:t>
      </w:r>
      <w:proofErr w:type="gramStart"/>
      <w:r w:rsidRPr="0038164E">
        <w:rPr>
          <w:rFonts w:asciiTheme="minorBidi" w:hAnsiTheme="minorBidi"/>
          <w:i/>
          <w:iCs/>
          <w:sz w:val="20"/>
          <w:szCs w:val="20"/>
        </w:rPr>
        <w:t>The</w:t>
      </w:r>
      <w:proofErr w:type="gramEnd"/>
      <w:r w:rsidRPr="0038164E">
        <w:rPr>
          <w:rFonts w:asciiTheme="minorBidi" w:hAnsiTheme="minorBidi"/>
          <w:i/>
          <w:iCs/>
          <w:sz w:val="20"/>
          <w:szCs w:val="20"/>
        </w:rPr>
        <w:t xml:space="preserve"> Presentation of Self in Everyday Life</w:t>
      </w:r>
      <w:r w:rsidRPr="0038164E">
        <w:rPr>
          <w:rFonts w:asciiTheme="minorBidi" w:hAnsiTheme="minorBidi"/>
          <w:sz w:val="20"/>
          <w:szCs w:val="20"/>
        </w:rPr>
        <w:t xml:space="preserve"> (London: Penguin).</w:t>
      </w:r>
      <w:r w:rsidR="00D26E42" w:rsidRPr="0038164E">
        <w:rPr>
          <w:rFonts w:asciiTheme="minorBidi" w:hAnsiTheme="minorBidi"/>
          <w:sz w:val="20"/>
          <w:szCs w:val="20"/>
        </w:rPr>
        <w:br/>
        <w:t xml:space="preserve">Goffman, Erving (1979) </w:t>
      </w:r>
      <w:r w:rsidR="00D26E42" w:rsidRPr="0038164E">
        <w:rPr>
          <w:rFonts w:asciiTheme="minorBidi" w:hAnsiTheme="minorBidi"/>
          <w:i/>
          <w:iCs/>
          <w:sz w:val="20"/>
          <w:szCs w:val="20"/>
        </w:rPr>
        <w:t>Gender Advertisements</w:t>
      </w:r>
      <w:r w:rsidR="00D26E42" w:rsidRPr="0038164E">
        <w:rPr>
          <w:rFonts w:asciiTheme="minorBidi" w:hAnsiTheme="minorBidi"/>
          <w:sz w:val="20"/>
          <w:szCs w:val="20"/>
        </w:rPr>
        <w:t xml:space="preserve"> (London: Macmillan).</w:t>
      </w:r>
    </w:p>
    <w:p w:rsidR="002312AB" w:rsidRPr="0038164E" w:rsidRDefault="002312AB" w:rsidP="0038164E">
      <w:pPr>
        <w:spacing w:after="0" w:line="480" w:lineRule="auto"/>
        <w:rPr>
          <w:rFonts w:asciiTheme="minorBidi" w:hAnsiTheme="minorBidi"/>
          <w:sz w:val="20"/>
          <w:szCs w:val="20"/>
        </w:rPr>
      </w:pPr>
    </w:p>
    <w:p w:rsidR="00DF53B4" w:rsidRPr="0038164E" w:rsidRDefault="00DF53B4" w:rsidP="0038164E">
      <w:pPr>
        <w:spacing w:after="0" w:line="480" w:lineRule="auto"/>
        <w:rPr>
          <w:rFonts w:asciiTheme="minorBidi" w:hAnsiTheme="minorBidi"/>
          <w:sz w:val="20"/>
          <w:szCs w:val="20"/>
        </w:rPr>
      </w:pPr>
      <w:r w:rsidRPr="0038164E">
        <w:rPr>
          <w:rFonts w:asciiTheme="minorBidi" w:hAnsiTheme="minorBidi"/>
          <w:sz w:val="20"/>
          <w:szCs w:val="20"/>
        </w:rPr>
        <w:t>Dr Grace Lees-Maffei, Reader in Design History, University of Hertfordshire.</w:t>
      </w:r>
    </w:p>
    <w:sectPr w:rsidR="00DF53B4" w:rsidRPr="0038164E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38" w:rsidRDefault="009B5F38" w:rsidP="000D78A2">
      <w:pPr>
        <w:spacing w:after="0" w:line="240" w:lineRule="auto"/>
      </w:pPr>
      <w:r>
        <w:separator/>
      </w:r>
    </w:p>
  </w:endnote>
  <w:endnote w:type="continuationSeparator" w:id="0">
    <w:p w:rsidR="009B5F38" w:rsidRDefault="009B5F38" w:rsidP="000D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079141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0"/>
        <w:szCs w:val="20"/>
      </w:rPr>
    </w:sdtEndPr>
    <w:sdtContent>
      <w:p w:rsidR="00BB4474" w:rsidRPr="00BB4474" w:rsidRDefault="00BB4474">
        <w:pPr>
          <w:pStyle w:val="Footer"/>
          <w:jc w:val="right"/>
          <w:rPr>
            <w:rFonts w:asciiTheme="minorBidi" w:hAnsiTheme="minorBidi"/>
            <w:sz w:val="20"/>
            <w:szCs w:val="20"/>
          </w:rPr>
        </w:pPr>
        <w:r w:rsidRPr="00BB4474">
          <w:rPr>
            <w:rFonts w:asciiTheme="minorBidi" w:hAnsiTheme="minorBidi"/>
            <w:sz w:val="20"/>
            <w:szCs w:val="20"/>
          </w:rPr>
          <w:fldChar w:fldCharType="begin"/>
        </w:r>
        <w:r w:rsidRPr="00207D97">
          <w:rPr>
            <w:rFonts w:asciiTheme="minorBidi" w:hAnsiTheme="minorBidi"/>
            <w:sz w:val="20"/>
            <w:szCs w:val="20"/>
          </w:rPr>
          <w:instrText xml:space="preserve"> PAGE   \* MERGEFORMAT </w:instrText>
        </w:r>
        <w:r w:rsidRPr="00BB4474">
          <w:rPr>
            <w:rFonts w:asciiTheme="minorBidi" w:hAnsiTheme="minorBidi"/>
            <w:sz w:val="20"/>
            <w:szCs w:val="20"/>
          </w:rPr>
          <w:fldChar w:fldCharType="separate"/>
        </w:r>
        <w:r w:rsidR="00D341B9">
          <w:rPr>
            <w:rFonts w:asciiTheme="minorBidi" w:hAnsiTheme="minorBidi"/>
            <w:noProof/>
            <w:sz w:val="20"/>
            <w:szCs w:val="20"/>
          </w:rPr>
          <w:t>1</w:t>
        </w:r>
        <w:r w:rsidRPr="00BB4474">
          <w:rPr>
            <w:rFonts w:asciiTheme="minorBidi" w:hAnsiTheme="minorBidi"/>
            <w:noProof/>
            <w:sz w:val="20"/>
            <w:szCs w:val="20"/>
          </w:rPr>
          <w:fldChar w:fldCharType="end"/>
        </w:r>
      </w:p>
    </w:sdtContent>
  </w:sdt>
  <w:p w:rsidR="00BB4474" w:rsidRDefault="00BB4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38" w:rsidRDefault="009B5F38" w:rsidP="000D78A2">
      <w:pPr>
        <w:spacing w:after="0" w:line="240" w:lineRule="auto"/>
      </w:pPr>
      <w:r>
        <w:separator/>
      </w:r>
    </w:p>
  </w:footnote>
  <w:footnote w:type="continuationSeparator" w:id="0">
    <w:p w:rsidR="009B5F38" w:rsidRDefault="009B5F38" w:rsidP="000D7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5F"/>
    <w:rsid w:val="00017F81"/>
    <w:rsid w:val="0002079B"/>
    <w:rsid w:val="000760D4"/>
    <w:rsid w:val="000B15D8"/>
    <w:rsid w:val="000D78A2"/>
    <w:rsid w:val="0012447C"/>
    <w:rsid w:val="00195C08"/>
    <w:rsid w:val="001A2A81"/>
    <w:rsid w:val="001C71FF"/>
    <w:rsid w:val="001D3603"/>
    <w:rsid w:val="00207D97"/>
    <w:rsid w:val="002312AB"/>
    <w:rsid w:val="002462B2"/>
    <w:rsid w:val="002571D6"/>
    <w:rsid w:val="002676F6"/>
    <w:rsid w:val="00291C66"/>
    <w:rsid w:val="002D2DF6"/>
    <w:rsid w:val="002F5C62"/>
    <w:rsid w:val="003640BA"/>
    <w:rsid w:val="003705EA"/>
    <w:rsid w:val="0038164E"/>
    <w:rsid w:val="003C0D1D"/>
    <w:rsid w:val="003C4030"/>
    <w:rsid w:val="00424C7B"/>
    <w:rsid w:val="004A324A"/>
    <w:rsid w:val="004C783A"/>
    <w:rsid w:val="004D2CE0"/>
    <w:rsid w:val="004D3934"/>
    <w:rsid w:val="004D7A0B"/>
    <w:rsid w:val="004E7BA2"/>
    <w:rsid w:val="00553561"/>
    <w:rsid w:val="00556EE6"/>
    <w:rsid w:val="00565EE2"/>
    <w:rsid w:val="00567272"/>
    <w:rsid w:val="0056755F"/>
    <w:rsid w:val="00583384"/>
    <w:rsid w:val="005D6794"/>
    <w:rsid w:val="00603AC4"/>
    <w:rsid w:val="00613272"/>
    <w:rsid w:val="006149C2"/>
    <w:rsid w:val="00636646"/>
    <w:rsid w:val="00690423"/>
    <w:rsid w:val="006E0B25"/>
    <w:rsid w:val="00705785"/>
    <w:rsid w:val="007173A4"/>
    <w:rsid w:val="007417EC"/>
    <w:rsid w:val="007606F5"/>
    <w:rsid w:val="007A167C"/>
    <w:rsid w:val="007A6EBC"/>
    <w:rsid w:val="007D0C1B"/>
    <w:rsid w:val="008B2586"/>
    <w:rsid w:val="00906DC6"/>
    <w:rsid w:val="0092720E"/>
    <w:rsid w:val="009478F9"/>
    <w:rsid w:val="00956CAE"/>
    <w:rsid w:val="00987A6E"/>
    <w:rsid w:val="009B3FEE"/>
    <w:rsid w:val="009B5F38"/>
    <w:rsid w:val="009C2CB5"/>
    <w:rsid w:val="00A36AAD"/>
    <w:rsid w:val="00A36F58"/>
    <w:rsid w:val="00A91033"/>
    <w:rsid w:val="00AB0DA4"/>
    <w:rsid w:val="00AC250B"/>
    <w:rsid w:val="00AF4C3D"/>
    <w:rsid w:val="00B36801"/>
    <w:rsid w:val="00B70620"/>
    <w:rsid w:val="00B80C60"/>
    <w:rsid w:val="00BA68A7"/>
    <w:rsid w:val="00BB4474"/>
    <w:rsid w:val="00BC610B"/>
    <w:rsid w:val="00BD3F5B"/>
    <w:rsid w:val="00C04175"/>
    <w:rsid w:val="00C54955"/>
    <w:rsid w:val="00C84663"/>
    <w:rsid w:val="00D26E42"/>
    <w:rsid w:val="00D341B9"/>
    <w:rsid w:val="00D70EDB"/>
    <w:rsid w:val="00D91BA7"/>
    <w:rsid w:val="00DF53B4"/>
    <w:rsid w:val="00E23039"/>
    <w:rsid w:val="00E42615"/>
    <w:rsid w:val="00E46762"/>
    <w:rsid w:val="00EA35F9"/>
    <w:rsid w:val="00EB0E64"/>
    <w:rsid w:val="00EB3E4F"/>
    <w:rsid w:val="00EE48DF"/>
    <w:rsid w:val="00F27BBF"/>
    <w:rsid w:val="00F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5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8A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0D78A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78A2"/>
    <w:pPr>
      <w:spacing w:after="0" w:line="240" w:lineRule="auto"/>
    </w:pPr>
    <w:rPr>
      <w:rFonts w:ascii="Palatino Linotype" w:eastAsia="Times New Roman" w:hAnsi="Palatino Linotype" w:cs="Arial"/>
      <w:bCs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8A2"/>
    <w:rPr>
      <w:rFonts w:ascii="Palatino Linotype" w:eastAsia="Times New Roman" w:hAnsi="Palatino Linotype" w:cs="Arial"/>
      <w:bCs/>
      <w:color w:val="000000"/>
      <w:sz w:val="20"/>
      <w:szCs w:val="20"/>
    </w:rPr>
  </w:style>
  <w:style w:type="paragraph" w:customStyle="1" w:styleId="Quotation">
    <w:name w:val="Quotation"/>
    <w:basedOn w:val="Normal"/>
    <w:autoRedefine/>
    <w:rsid w:val="000D78A2"/>
    <w:pPr>
      <w:autoSpaceDE w:val="0"/>
      <w:autoSpaceDN w:val="0"/>
      <w:adjustRightInd w:val="0"/>
      <w:spacing w:after="0" w:line="240" w:lineRule="auto"/>
      <w:ind w:left="851"/>
    </w:pPr>
    <w:rPr>
      <w:rFonts w:ascii="Palatino Linotype" w:eastAsia="Times New Roman" w:hAnsi="Palatino Linotype" w:cs="Times New Roman"/>
      <w:color w:val="000000"/>
      <w:sz w:val="20"/>
      <w:szCs w:val="15"/>
    </w:rPr>
  </w:style>
  <w:style w:type="character" w:styleId="Emphasis">
    <w:name w:val="Emphasis"/>
    <w:basedOn w:val="DefaultParagraphFont"/>
    <w:qFormat/>
    <w:rsid w:val="00E4676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B1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1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53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53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53B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4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74"/>
  </w:style>
  <w:style w:type="paragraph" w:styleId="Footer">
    <w:name w:val="footer"/>
    <w:basedOn w:val="Normal"/>
    <w:link w:val="FooterChar"/>
    <w:uiPriority w:val="99"/>
    <w:unhideWhenUsed/>
    <w:rsid w:val="00BB4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74"/>
  </w:style>
  <w:style w:type="paragraph" w:styleId="NormalWeb">
    <w:name w:val="Normal (Web)"/>
    <w:basedOn w:val="Normal"/>
    <w:uiPriority w:val="99"/>
    <w:semiHidden/>
    <w:unhideWhenUsed/>
    <w:rsid w:val="00FB297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5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5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8A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0D78A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D78A2"/>
    <w:pPr>
      <w:spacing w:after="0" w:line="240" w:lineRule="auto"/>
    </w:pPr>
    <w:rPr>
      <w:rFonts w:ascii="Palatino Linotype" w:eastAsia="Times New Roman" w:hAnsi="Palatino Linotype" w:cs="Arial"/>
      <w:bCs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78A2"/>
    <w:rPr>
      <w:rFonts w:ascii="Palatino Linotype" w:eastAsia="Times New Roman" w:hAnsi="Palatino Linotype" w:cs="Arial"/>
      <w:bCs/>
      <w:color w:val="000000"/>
      <w:sz w:val="20"/>
      <w:szCs w:val="20"/>
    </w:rPr>
  </w:style>
  <w:style w:type="paragraph" w:customStyle="1" w:styleId="Quotation">
    <w:name w:val="Quotation"/>
    <w:basedOn w:val="Normal"/>
    <w:autoRedefine/>
    <w:rsid w:val="000D78A2"/>
    <w:pPr>
      <w:autoSpaceDE w:val="0"/>
      <w:autoSpaceDN w:val="0"/>
      <w:adjustRightInd w:val="0"/>
      <w:spacing w:after="0" w:line="240" w:lineRule="auto"/>
      <w:ind w:left="851"/>
    </w:pPr>
    <w:rPr>
      <w:rFonts w:ascii="Palatino Linotype" w:eastAsia="Times New Roman" w:hAnsi="Palatino Linotype" w:cs="Times New Roman"/>
      <w:color w:val="000000"/>
      <w:sz w:val="20"/>
      <w:szCs w:val="15"/>
    </w:rPr>
  </w:style>
  <w:style w:type="character" w:styleId="Emphasis">
    <w:name w:val="Emphasis"/>
    <w:basedOn w:val="DefaultParagraphFont"/>
    <w:qFormat/>
    <w:rsid w:val="00E4676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B1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15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53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53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53B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4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474"/>
  </w:style>
  <w:style w:type="paragraph" w:styleId="Footer">
    <w:name w:val="footer"/>
    <w:basedOn w:val="Normal"/>
    <w:link w:val="FooterChar"/>
    <w:uiPriority w:val="99"/>
    <w:unhideWhenUsed/>
    <w:rsid w:val="00BB4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474"/>
  </w:style>
  <w:style w:type="paragraph" w:styleId="NormalWeb">
    <w:name w:val="Normal (Web)"/>
    <w:basedOn w:val="Normal"/>
    <w:uiPriority w:val="99"/>
    <w:semiHidden/>
    <w:unhideWhenUsed/>
    <w:rsid w:val="00FB29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2BD1-E196-459D-89B4-ABD674E3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Lees-Maffei</dc:creator>
  <cp:lastModifiedBy>Lees-Maffei</cp:lastModifiedBy>
  <cp:revision>3</cp:revision>
  <dcterms:created xsi:type="dcterms:W3CDTF">2014-05-08T09:01:00Z</dcterms:created>
  <dcterms:modified xsi:type="dcterms:W3CDTF">2014-05-08T09:53:00Z</dcterms:modified>
</cp:coreProperties>
</file>