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4DAC" w:rsidRPr="000218B9" w:rsidRDefault="00E14DAC" w:rsidP="0012291E">
      <w:pPr>
        <w:spacing w:line="360" w:lineRule="auto"/>
        <w:rPr>
          <w:b/>
          <w:sz w:val="24"/>
          <w:szCs w:val="24"/>
        </w:rPr>
      </w:pPr>
      <w:r w:rsidRPr="000218B9">
        <w:rPr>
          <w:b/>
          <w:sz w:val="24"/>
          <w:szCs w:val="24"/>
          <w:highlight w:val="yellow"/>
        </w:rPr>
        <w:t>1</w:t>
      </w:r>
      <w:r w:rsidR="007D2556" w:rsidRPr="000218B9">
        <w:rPr>
          <w:b/>
          <w:sz w:val="24"/>
          <w:szCs w:val="24"/>
          <w:highlight w:val="yellow"/>
        </w:rPr>
        <w:t>.</w:t>
      </w:r>
      <w:r w:rsidRPr="000218B9">
        <w:rPr>
          <w:b/>
          <w:sz w:val="24"/>
          <w:szCs w:val="24"/>
          <w:highlight w:val="yellow"/>
        </w:rPr>
        <w:t xml:space="preserve"> TITLE SLIDE</w:t>
      </w:r>
    </w:p>
    <w:p w:rsidR="000947EC" w:rsidRPr="000218B9" w:rsidRDefault="00BD4ED4" w:rsidP="00834E70">
      <w:pPr>
        <w:spacing w:line="360" w:lineRule="auto"/>
        <w:rPr>
          <w:sz w:val="24"/>
          <w:szCs w:val="24"/>
        </w:rPr>
      </w:pPr>
      <w:r w:rsidRPr="000218B9">
        <w:rPr>
          <w:sz w:val="24"/>
          <w:szCs w:val="24"/>
        </w:rPr>
        <w:t xml:space="preserve">Ebenezer </w:t>
      </w:r>
      <w:r w:rsidR="00E65F5E" w:rsidRPr="000218B9">
        <w:rPr>
          <w:sz w:val="24"/>
          <w:szCs w:val="24"/>
        </w:rPr>
        <w:t>Howard’s</w:t>
      </w:r>
      <w:r w:rsidR="00E14DAC" w:rsidRPr="000218B9">
        <w:rPr>
          <w:sz w:val="24"/>
          <w:szCs w:val="24"/>
        </w:rPr>
        <w:t xml:space="preserve"> book </w:t>
      </w:r>
      <w:r w:rsidR="00E14DAC" w:rsidRPr="000218B9">
        <w:rPr>
          <w:i/>
          <w:sz w:val="24"/>
          <w:szCs w:val="24"/>
        </w:rPr>
        <w:t>Garden Cities of Tomorrow</w:t>
      </w:r>
      <w:r w:rsidR="00E14DAC" w:rsidRPr="000218B9">
        <w:rPr>
          <w:sz w:val="24"/>
          <w:szCs w:val="24"/>
        </w:rPr>
        <w:t xml:space="preserve"> (1898)</w:t>
      </w:r>
      <w:r w:rsidR="00C43FEE" w:rsidRPr="000218B9">
        <w:rPr>
          <w:rStyle w:val="FootnoteReference"/>
          <w:sz w:val="24"/>
          <w:szCs w:val="24"/>
        </w:rPr>
        <w:footnoteReference w:id="1"/>
      </w:r>
      <w:r w:rsidR="00C43FEE" w:rsidRPr="000218B9">
        <w:rPr>
          <w:sz w:val="24"/>
          <w:szCs w:val="24"/>
        </w:rPr>
        <w:t xml:space="preserve"> </w:t>
      </w:r>
      <w:r w:rsidR="008E4C16" w:rsidRPr="000218B9">
        <w:rPr>
          <w:sz w:val="24"/>
          <w:szCs w:val="24"/>
        </w:rPr>
        <w:t>contained</w:t>
      </w:r>
      <w:r w:rsidR="00BA5F3B" w:rsidRPr="000218B9">
        <w:rPr>
          <w:sz w:val="24"/>
          <w:szCs w:val="24"/>
        </w:rPr>
        <w:t xml:space="preserve"> </w:t>
      </w:r>
      <w:r w:rsidR="006C1961" w:rsidRPr="000218B9">
        <w:rPr>
          <w:sz w:val="24"/>
          <w:szCs w:val="24"/>
        </w:rPr>
        <w:t xml:space="preserve">what might be seen as a questionable </w:t>
      </w:r>
      <w:r w:rsidR="00E71E9D" w:rsidRPr="000218B9">
        <w:rPr>
          <w:sz w:val="24"/>
          <w:szCs w:val="24"/>
        </w:rPr>
        <w:t>reference</w:t>
      </w:r>
      <w:r w:rsidR="001248B4" w:rsidRPr="000218B9">
        <w:rPr>
          <w:sz w:val="24"/>
          <w:szCs w:val="24"/>
        </w:rPr>
        <w:t xml:space="preserve">, </w:t>
      </w:r>
      <w:r w:rsidR="00BA5F3B" w:rsidRPr="000218B9">
        <w:rPr>
          <w:sz w:val="24"/>
          <w:szCs w:val="24"/>
        </w:rPr>
        <w:t xml:space="preserve">in terms of </w:t>
      </w:r>
      <w:r w:rsidR="00480C6B" w:rsidRPr="000218B9">
        <w:rPr>
          <w:sz w:val="24"/>
          <w:szCs w:val="24"/>
        </w:rPr>
        <w:t>the contemporary political situation</w:t>
      </w:r>
      <w:r w:rsidR="001248B4" w:rsidRPr="000218B9">
        <w:rPr>
          <w:sz w:val="24"/>
          <w:szCs w:val="24"/>
        </w:rPr>
        <w:t xml:space="preserve">.  </w:t>
      </w:r>
      <w:r w:rsidR="00BA5F3B" w:rsidRPr="000218B9">
        <w:rPr>
          <w:sz w:val="24"/>
          <w:szCs w:val="24"/>
        </w:rPr>
        <w:t>Regarding</w:t>
      </w:r>
      <w:r w:rsidR="008179EB" w:rsidRPr="000218B9">
        <w:rPr>
          <w:sz w:val="24"/>
          <w:szCs w:val="24"/>
        </w:rPr>
        <w:t xml:space="preserve"> the origins of</w:t>
      </w:r>
      <w:r w:rsidR="004572D2" w:rsidRPr="000218B9">
        <w:rPr>
          <w:sz w:val="24"/>
          <w:szCs w:val="24"/>
        </w:rPr>
        <w:t xml:space="preserve"> the garden city</w:t>
      </w:r>
      <w:r w:rsidR="008179EB" w:rsidRPr="000218B9">
        <w:rPr>
          <w:sz w:val="24"/>
          <w:szCs w:val="24"/>
        </w:rPr>
        <w:t xml:space="preserve"> concept</w:t>
      </w:r>
      <w:r w:rsidR="004572D2" w:rsidRPr="000218B9">
        <w:rPr>
          <w:sz w:val="24"/>
          <w:szCs w:val="24"/>
        </w:rPr>
        <w:t xml:space="preserve">, </w:t>
      </w:r>
      <w:r w:rsidR="00B43B58" w:rsidRPr="000218B9">
        <w:rPr>
          <w:sz w:val="24"/>
          <w:szCs w:val="24"/>
        </w:rPr>
        <w:t>he</w:t>
      </w:r>
      <w:r w:rsidR="001248B4" w:rsidRPr="000218B9">
        <w:rPr>
          <w:sz w:val="24"/>
          <w:szCs w:val="24"/>
        </w:rPr>
        <w:t xml:space="preserve"> not</w:t>
      </w:r>
      <w:r w:rsidR="00B544E2" w:rsidRPr="000218B9">
        <w:rPr>
          <w:sz w:val="24"/>
          <w:szCs w:val="24"/>
        </w:rPr>
        <w:t>ed</w:t>
      </w:r>
      <w:r w:rsidR="00E14DAC" w:rsidRPr="000218B9">
        <w:rPr>
          <w:sz w:val="24"/>
          <w:szCs w:val="24"/>
        </w:rPr>
        <w:t xml:space="preserve"> that</w:t>
      </w:r>
      <w:r w:rsidR="00153921" w:rsidRPr="000218B9">
        <w:rPr>
          <w:sz w:val="24"/>
          <w:szCs w:val="24"/>
        </w:rPr>
        <w:t xml:space="preserve"> it was</w:t>
      </w:r>
      <w:r w:rsidR="00B43B58" w:rsidRPr="000218B9">
        <w:rPr>
          <w:sz w:val="24"/>
          <w:szCs w:val="24"/>
        </w:rPr>
        <w:t xml:space="preserve"> only</w:t>
      </w:r>
      <w:r w:rsidR="00E14DAC" w:rsidRPr="000218B9">
        <w:rPr>
          <w:sz w:val="24"/>
          <w:szCs w:val="24"/>
        </w:rPr>
        <w:t xml:space="preserve"> </w:t>
      </w:r>
      <w:r w:rsidR="007D2556" w:rsidRPr="000218B9">
        <w:rPr>
          <w:b/>
          <w:sz w:val="24"/>
          <w:szCs w:val="24"/>
          <w:highlight w:val="yellow"/>
        </w:rPr>
        <w:t>[SLIDE 2]</w:t>
      </w:r>
      <w:r w:rsidR="0018112D" w:rsidRPr="000218B9">
        <w:rPr>
          <w:b/>
          <w:sz w:val="24"/>
          <w:szCs w:val="24"/>
        </w:rPr>
        <w:t xml:space="preserve">:  </w:t>
      </w:r>
      <w:r w:rsidR="007D2556" w:rsidRPr="000218B9">
        <w:rPr>
          <w:sz w:val="24"/>
          <w:szCs w:val="24"/>
        </w:rPr>
        <w:t xml:space="preserve">  </w:t>
      </w:r>
      <w:r w:rsidR="00E14DAC" w:rsidRPr="000218B9">
        <w:rPr>
          <w:sz w:val="24"/>
          <w:szCs w:val="24"/>
        </w:rPr>
        <w:t>‘</w:t>
      </w:r>
      <w:r w:rsidR="00153921" w:rsidRPr="000218B9">
        <w:rPr>
          <w:sz w:val="24"/>
          <w:szCs w:val="24"/>
        </w:rPr>
        <w:t>by a hair’s breadth</w:t>
      </w:r>
      <w:proofErr w:type="gramStart"/>
      <w:r w:rsidR="00153921" w:rsidRPr="000218B9">
        <w:rPr>
          <w:sz w:val="24"/>
          <w:szCs w:val="24"/>
        </w:rPr>
        <w:t>…</w:t>
      </w:r>
      <w:r w:rsidR="00CD30D2" w:rsidRPr="000218B9">
        <w:rPr>
          <w:sz w:val="24"/>
          <w:szCs w:val="24"/>
        </w:rPr>
        <w:t>[</w:t>
      </w:r>
      <w:proofErr w:type="gramEnd"/>
      <w:r w:rsidR="00CD30D2" w:rsidRPr="000218B9">
        <w:rPr>
          <w:sz w:val="24"/>
          <w:szCs w:val="24"/>
        </w:rPr>
        <w:t xml:space="preserve">that] </w:t>
      </w:r>
      <w:r w:rsidR="00153921" w:rsidRPr="000218B9">
        <w:rPr>
          <w:sz w:val="24"/>
          <w:szCs w:val="24"/>
        </w:rPr>
        <w:t>Kropotkin, Morris and Ruskin failed to  give expression to the garden city idea themselves’.</w:t>
      </w:r>
      <w:r w:rsidR="00153921" w:rsidRPr="000218B9">
        <w:rPr>
          <w:rStyle w:val="FootnoteReference"/>
          <w:sz w:val="24"/>
          <w:szCs w:val="24"/>
        </w:rPr>
        <w:footnoteReference w:id="2"/>
      </w:r>
      <w:r w:rsidR="00E14DAC" w:rsidRPr="000218B9">
        <w:rPr>
          <w:sz w:val="24"/>
          <w:szCs w:val="24"/>
        </w:rPr>
        <w:t xml:space="preserve"> </w:t>
      </w:r>
      <w:r w:rsidR="00090E32" w:rsidRPr="000218B9">
        <w:rPr>
          <w:sz w:val="24"/>
          <w:szCs w:val="24"/>
        </w:rPr>
        <w:t xml:space="preserve"> </w:t>
      </w:r>
      <w:r w:rsidR="00144913" w:rsidRPr="000218B9">
        <w:rPr>
          <w:sz w:val="24"/>
          <w:szCs w:val="24"/>
        </w:rPr>
        <w:t>T</w:t>
      </w:r>
      <w:r w:rsidR="00480C6B" w:rsidRPr="000218B9">
        <w:rPr>
          <w:sz w:val="24"/>
          <w:szCs w:val="24"/>
        </w:rPr>
        <w:t>he st</w:t>
      </w:r>
      <w:r w:rsidR="00153921" w:rsidRPr="000218B9">
        <w:rPr>
          <w:sz w:val="24"/>
          <w:szCs w:val="24"/>
        </w:rPr>
        <w:t>a</w:t>
      </w:r>
      <w:r w:rsidR="00480C6B" w:rsidRPr="000218B9">
        <w:rPr>
          <w:sz w:val="24"/>
          <w:szCs w:val="24"/>
        </w:rPr>
        <w:t>tement made</w:t>
      </w:r>
      <w:r w:rsidR="00153921" w:rsidRPr="000218B9">
        <w:rPr>
          <w:sz w:val="24"/>
          <w:szCs w:val="24"/>
        </w:rPr>
        <w:t xml:space="preserve"> </w:t>
      </w:r>
      <w:r w:rsidR="00153921" w:rsidRPr="000218B9">
        <w:rPr>
          <w:i/>
          <w:sz w:val="24"/>
          <w:szCs w:val="24"/>
        </w:rPr>
        <w:t>homage</w:t>
      </w:r>
      <w:r w:rsidR="00153921" w:rsidRPr="000218B9">
        <w:rPr>
          <w:sz w:val="24"/>
          <w:szCs w:val="24"/>
        </w:rPr>
        <w:t xml:space="preserve"> to three writers</w:t>
      </w:r>
      <w:r w:rsidR="00144913" w:rsidRPr="000218B9">
        <w:rPr>
          <w:sz w:val="24"/>
          <w:szCs w:val="24"/>
        </w:rPr>
        <w:t xml:space="preserve"> whose ideas were</w:t>
      </w:r>
      <w:r w:rsidR="002B61AE" w:rsidRPr="000218B9">
        <w:rPr>
          <w:sz w:val="24"/>
          <w:szCs w:val="24"/>
        </w:rPr>
        <w:t xml:space="preserve"> indicated</w:t>
      </w:r>
      <w:r w:rsidR="007D2556" w:rsidRPr="000218B9">
        <w:rPr>
          <w:sz w:val="24"/>
          <w:szCs w:val="24"/>
        </w:rPr>
        <w:t xml:space="preserve"> as</w:t>
      </w:r>
      <w:r w:rsidR="002B61AE" w:rsidRPr="000218B9">
        <w:rPr>
          <w:sz w:val="24"/>
          <w:szCs w:val="24"/>
        </w:rPr>
        <w:t xml:space="preserve"> being</w:t>
      </w:r>
      <w:r w:rsidR="00144913" w:rsidRPr="000218B9">
        <w:rPr>
          <w:sz w:val="24"/>
          <w:szCs w:val="24"/>
        </w:rPr>
        <w:t xml:space="preserve"> particularly significant to Howard’s invention.  </w:t>
      </w:r>
      <w:r w:rsidR="00144913" w:rsidRPr="000218B9">
        <w:rPr>
          <w:sz w:val="24"/>
          <w:szCs w:val="24"/>
          <w:highlight w:val="yellow"/>
        </w:rPr>
        <w:t>[SLIDE 3]</w:t>
      </w:r>
      <w:r w:rsidR="00144913" w:rsidRPr="000218B9">
        <w:rPr>
          <w:sz w:val="24"/>
          <w:szCs w:val="24"/>
        </w:rPr>
        <w:t xml:space="preserve">  Two of these</w:t>
      </w:r>
      <w:r w:rsidR="007D2556" w:rsidRPr="000218B9">
        <w:rPr>
          <w:sz w:val="24"/>
          <w:szCs w:val="24"/>
        </w:rPr>
        <w:t xml:space="preserve"> were well-known British </w:t>
      </w:r>
      <w:r w:rsidR="00F676B3" w:rsidRPr="000218B9">
        <w:rPr>
          <w:sz w:val="24"/>
          <w:szCs w:val="24"/>
        </w:rPr>
        <w:t xml:space="preserve">cultural </w:t>
      </w:r>
      <w:r w:rsidR="00144913" w:rsidRPr="000218B9">
        <w:rPr>
          <w:sz w:val="24"/>
          <w:szCs w:val="24"/>
        </w:rPr>
        <w:t xml:space="preserve">figures, William Morris and John Ruskin, both of whom </w:t>
      </w:r>
      <w:r w:rsidR="00886FC8" w:rsidRPr="000218B9">
        <w:rPr>
          <w:sz w:val="24"/>
          <w:szCs w:val="24"/>
        </w:rPr>
        <w:t xml:space="preserve">in different ways </w:t>
      </w:r>
      <w:r w:rsidR="009D29F8" w:rsidRPr="000218B9">
        <w:rPr>
          <w:sz w:val="24"/>
          <w:szCs w:val="24"/>
        </w:rPr>
        <w:t>were critical of</w:t>
      </w:r>
      <w:r w:rsidR="00144913" w:rsidRPr="000218B9">
        <w:rPr>
          <w:sz w:val="24"/>
          <w:szCs w:val="24"/>
        </w:rPr>
        <w:t xml:space="preserve"> the</w:t>
      </w:r>
      <w:r w:rsidR="00B43B58" w:rsidRPr="000218B9">
        <w:rPr>
          <w:sz w:val="24"/>
          <w:szCs w:val="24"/>
        </w:rPr>
        <w:t xml:space="preserve"> </w:t>
      </w:r>
      <w:r w:rsidR="00144913" w:rsidRPr="000218B9">
        <w:rPr>
          <w:sz w:val="24"/>
          <w:szCs w:val="24"/>
        </w:rPr>
        <w:t>nature of the current political economy</w:t>
      </w:r>
      <w:r w:rsidR="00EC5B86" w:rsidRPr="000218B9">
        <w:rPr>
          <w:sz w:val="24"/>
          <w:szCs w:val="24"/>
        </w:rPr>
        <w:t>,</w:t>
      </w:r>
      <w:r w:rsidR="00144913" w:rsidRPr="000218B9">
        <w:rPr>
          <w:sz w:val="24"/>
          <w:szCs w:val="24"/>
        </w:rPr>
        <w:t xml:space="preserve"> which</w:t>
      </w:r>
      <w:r w:rsidR="0018112D" w:rsidRPr="000218B9">
        <w:rPr>
          <w:sz w:val="24"/>
          <w:szCs w:val="24"/>
        </w:rPr>
        <w:t xml:space="preserve"> they viewed as divorcing labour from creativity</w:t>
      </w:r>
      <w:r w:rsidR="00CF0DFA" w:rsidRPr="000218B9">
        <w:rPr>
          <w:sz w:val="24"/>
          <w:szCs w:val="24"/>
        </w:rPr>
        <w:t>.</w:t>
      </w:r>
      <w:r w:rsidR="00F54504" w:rsidRPr="000218B9">
        <w:rPr>
          <w:rStyle w:val="FootnoteReference"/>
          <w:sz w:val="24"/>
          <w:szCs w:val="24"/>
        </w:rPr>
        <w:footnoteReference w:id="3"/>
      </w:r>
      <w:r w:rsidR="00CF0DFA" w:rsidRPr="000218B9">
        <w:rPr>
          <w:sz w:val="24"/>
          <w:szCs w:val="24"/>
        </w:rPr>
        <w:t xml:space="preserve">  </w:t>
      </w:r>
      <w:r w:rsidR="000947EC" w:rsidRPr="000218B9">
        <w:rPr>
          <w:b/>
          <w:sz w:val="24"/>
          <w:szCs w:val="24"/>
          <w:highlight w:val="yellow"/>
        </w:rPr>
        <w:t>[SLIDE 4]</w:t>
      </w:r>
      <w:r w:rsidR="000947EC" w:rsidRPr="000218B9">
        <w:rPr>
          <w:b/>
          <w:sz w:val="24"/>
          <w:szCs w:val="24"/>
        </w:rPr>
        <w:t xml:space="preserve">  </w:t>
      </w:r>
      <w:r w:rsidR="00886FC8" w:rsidRPr="000218B9">
        <w:rPr>
          <w:sz w:val="24"/>
          <w:szCs w:val="24"/>
        </w:rPr>
        <w:t>T</w:t>
      </w:r>
      <w:r w:rsidR="00CF0DFA" w:rsidRPr="000218B9">
        <w:rPr>
          <w:sz w:val="24"/>
          <w:szCs w:val="24"/>
        </w:rPr>
        <w:t>he</w:t>
      </w:r>
      <w:r w:rsidR="003C4C39" w:rsidRPr="000218B9">
        <w:rPr>
          <w:sz w:val="24"/>
          <w:szCs w:val="24"/>
        </w:rPr>
        <w:t xml:space="preserve"> </w:t>
      </w:r>
      <w:r w:rsidR="008E4C16" w:rsidRPr="000218B9">
        <w:rPr>
          <w:sz w:val="24"/>
          <w:szCs w:val="24"/>
        </w:rPr>
        <w:t>potential</w:t>
      </w:r>
      <w:r w:rsidR="00090E32" w:rsidRPr="000218B9">
        <w:rPr>
          <w:sz w:val="24"/>
          <w:szCs w:val="24"/>
        </w:rPr>
        <w:t xml:space="preserve"> </w:t>
      </w:r>
      <w:r w:rsidR="00A7602B" w:rsidRPr="000218B9">
        <w:rPr>
          <w:sz w:val="24"/>
          <w:szCs w:val="24"/>
        </w:rPr>
        <w:t>odd-one-</w:t>
      </w:r>
      <w:r w:rsidR="003C4C39" w:rsidRPr="000218B9">
        <w:rPr>
          <w:sz w:val="24"/>
          <w:szCs w:val="24"/>
        </w:rPr>
        <w:t>out</w:t>
      </w:r>
      <w:r w:rsidR="00CF0DFA" w:rsidRPr="000218B9">
        <w:rPr>
          <w:sz w:val="24"/>
          <w:szCs w:val="24"/>
        </w:rPr>
        <w:t xml:space="preserve"> in Howard’s list,</w:t>
      </w:r>
      <w:r w:rsidR="00FC1AE6" w:rsidRPr="000218B9">
        <w:rPr>
          <w:sz w:val="24"/>
          <w:szCs w:val="24"/>
        </w:rPr>
        <w:t xml:space="preserve"> however, </w:t>
      </w:r>
      <w:r w:rsidR="00256429" w:rsidRPr="000218B9">
        <w:rPr>
          <w:sz w:val="24"/>
          <w:szCs w:val="24"/>
        </w:rPr>
        <w:t xml:space="preserve">was </w:t>
      </w:r>
      <w:r w:rsidR="001F5B8B" w:rsidRPr="000218B9">
        <w:rPr>
          <w:sz w:val="24"/>
          <w:szCs w:val="24"/>
        </w:rPr>
        <w:t xml:space="preserve">the Russian </w:t>
      </w:r>
      <w:r w:rsidR="007D2556" w:rsidRPr="000218B9">
        <w:rPr>
          <w:sz w:val="24"/>
          <w:szCs w:val="24"/>
        </w:rPr>
        <w:t>Prince</w:t>
      </w:r>
      <w:r w:rsidR="003C4C39" w:rsidRPr="000218B9">
        <w:rPr>
          <w:sz w:val="24"/>
          <w:szCs w:val="24"/>
        </w:rPr>
        <w:t>,</w:t>
      </w:r>
      <w:r w:rsidR="007D2556" w:rsidRPr="000218B9">
        <w:rPr>
          <w:sz w:val="24"/>
          <w:szCs w:val="24"/>
        </w:rPr>
        <w:t xml:space="preserve"> Peter Kropotkin, </w:t>
      </w:r>
      <w:r w:rsidR="00A7602B" w:rsidRPr="000218B9">
        <w:rPr>
          <w:sz w:val="24"/>
          <w:szCs w:val="24"/>
        </w:rPr>
        <w:t xml:space="preserve">who was </w:t>
      </w:r>
      <w:r w:rsidR="00E65F5E" w:rsidRPr="000218B9">
        <w:rPr>
          <w:b/>
          <w:sz w:val="24"/>
          <w:szCs w:val="24"/>
        </w:rPr>
        <w:t>a major</w:t>
      </w:r>
      <w:r w:rsidR="00E65F5E" w:rsidRPr="000218B9">
        <w:rPr>
          <w:sz w:val="24"/>
          <w:szCs w:val="24"/>
        </w:rPr>
        <w:t xml:space="preserve"> </w:t>
      </w:r>
      <w:r w:rsidR="00E65F5E" w:rsidRPr="000218B9">
        <w:rPr>
          <w:b/>
          <w:sz w:val="24"/>
          <w:szCs w:val="24"/>
        </w:rPr>
        <w:t>Russian r</w:t>
      </w:r>
      <w:r w:rsidR="00A13CE5" w:rsidRPr="000218B9">
        <w:rPr>
          <w:b/>
          <w:sz w:val="24"/>
          <w:szCs w:val="24"/>
        </w:rPr>
        <w:t>evolutionary socialist</w:t>
      </w:r>
      <w:r w:rsidR="001F5B8B" w:rsidRPr="000218B9">
        <w:rPr>
          <w:b/>
          <w:sz w:val="24"/>
          <w:szCs w:val="24"/>
        </w:rPr>
        <w:t xml:space="preserve"> and theorist of an</w:t>
      </w:r>
      <w:r w:rsidR="000947EC" w:rsidRPr="000218B9">
        <w:rPr>
          <w:b/>
          <w:sz w:val="24"/>
          <w:szCs w:val="24"/>
        </w:rPr>
        <w:t xml:space="preserve">archism, </w:t>
      </w:r>
      <w:r w:rsidR="00E63B17" w:rsidRPr="000218B9">
        <w:rPr>
          <w:b/>
          <w:sz w:val="24"/>
          <w:szCs w:val="24"/>
        </w:rPr>
        <w:t xml:space="preserve">and </w:t>
      </w:r>
      <w:r w:rsidR="00B43B58" w:rsidRPr="000218B9">
        <w:rPr>
          <w:b/>
          <w:sz w:val="24"/>
          <w:szCs w:val="24"/>
        </w:rPr>
        <w:t>consequently</w:t>
      </w:r>
      <w:r w:rsidR="00E63B17" w:rsidRPr="000218B9">
        <w:rPr>
          <w:b/>
          <w:sz w:val="24"/>
          <w:szCs w:val="24"/>
        </w:rPr>
        <w:t xml:space="preserve"> an opponent</w:t>
      </w:r>
      <w:r w:rsidR="00B43B58" w:rsidRPr="000218B9">
        <w:rPr>
          <w:b/>
          <w:sz w:val="24"/>
          <w:szCs w:val="24"/>
        </w:rPr>
        <w:t xml:space="preserve"> of</w:t>
      </w:r>
      <w:r w:rsidR="00E63B17" w:rsidRPr="000218B9">
        <w:rPr>
          <w:b/>
          <w:sz w:val="24"/>
          <w:szCs w:val="24"/>
        </w:rPr>
        <w:t xml:space="preserve"> contemporary capitalism, and the idea of a centralised state government.  </w:t>
      </w:r>
      <w:r w:rsidR="00B43B58" w:rsidRPr="000218B9">
        <w:rPr>
          <w:sz w:val="24"/>
          <w:szCs w:val="24"/>
        </w:rPr>
        <w:t>Kropotkin</w:t>
      </w:r>
      <w:r w:rsidR="00E63B17" w:rsidRPr="000218B9">
        <w:rPr>
          <w:b/>
          <w:sz w:val="24"/>
          <w:szCs w:val="24"/>
        </w:rPr>
        <w:t xml:space="preserve"> </w:t>
      </w:r>
      <w:r w:rsidR="00A7602B" w:rsidRPr="000218B9">
        <w:rPr>
          <w:sz w:val="24"/>
          <w:szCs w:val="24"/>
        </w:rPr>
        <w:t>lived</w:t>
      </w:r>
      <w:r w:rsidR="00B43B58" w:rsidRPr="000218B9">
        <w:rPr>
          <w:sz w:val="24"/>
          <w:szCs w:val="24"/>
        </w:rPr>
        <w:t xml:space="preserve"> in </w:t>
      </w:r>
      <w:r w:rsidR="00EE4787" w:rsidRPr="000218B9">
        <w:rPr>
          <w:sz w:val="24"/>
          <w:szCs w:val="24"/>
        </w:rPr>
        <w:t xml:space="preserve">Britain between </w:t>
      </w:r>
      <w:r w:rsidR="008E6C62" w:rsidRPr="000218B9">
        <w:rPr>
          <w:sz w:val="24"/>
          <w:szCs w:val="24"/>
        </w:rPr>
        <w:t>late 1886</w:t>
      </w:r>
      <w:r w:rsidR="003250D4" w:rsidRPr="000218B9">
        <w:rPr>
          <w:sz w:val="24"/>
          <w:szCs w:val="24"/>
        </w:rPr>
        <w:t xml:space="preserve"> and </w:t>
      </w:r>
      <w:r w:rsidR="00E71E9D" w:rsidRPr="000218B9">
        <w:rPr>
          <w:sz w:val="24"/>
          <w:szCs w:val="24"/>
        </w:rPr>
        <w:t xml:space="preserve">February </w:t>
      </w:r>
      <w:r w:rsidR="003250D4" w:rsidRPr="000218B9">
        <w:rPr>
          <w:sz w:val="24"/>
          <w:szCs w:val="24"/>
        </w:rPr>
        <w:t>1917</w:t>
      </w:r>
      <w:r w:rsidR="00DC3495" w:rsidRPr="000218B9">
        <w:rPr>
          <w:sz w:val="24"/>
          <w:szCs w:val="24"/>
        </w:rPr>
        <w:t xml:space="preserve">, </w:t>
      </w:r>
      <w:r w:rsidR="00A7602B" w:rsidRPr="000218B9">
        <w:rPr>
          <w:sz w:val="24"/>
          <w:szCs w:val="24"/>
        </w:rPr>
        <w:t xml:space="preserve">mainly </w:t>
      </w:r>
      <w:r w:rsidR="006A2F5B" w:rsidRPr="000218B9">
        <w:rPr>
          <w:sz w:val="24"/>
          <w:szCs w:val="24"/>
        </w:rPr>
        <w:t xml:space="preserve">because he </w:t>
      </w:r>
      <w:r w:rsidR="0045345A" w:rsidRPr="000218B9">
        <w:rPr>
          <w:sz w:val="24"/>
          <w:szCs w:val="24"/>
        </w:rPr>
        <w:t>had been system</w:t>
      </w:r>
      <w:r w:rsidR="006A2F5B" w:rsidRPr="000218B9">
        <w:rPr>
          <w:sz w:val="24"/>
          <w:szCs w:val="24"/>
        </w:rPr>
        <w:t>atically</w:t>
      </w:r>
      <w:r w:rsidR="001F5B8B" w:rsidRPr="000218B9">
        <w:rPr>
          <w:sz w:val="24"/>
          <w:szCs w:val="24"/>
        </w:rPr>
        <w:t xml:space="preserve"> banned from permanent residence</w:t>
      </w:r>
      <w:r w:rsidR="00EE0102" w:rsidRPr="000218B9">
        <w:rPr>
          <w:sz w:val="24"/>
          <w:szCs w:val="24"/>
        </w:rPr>
        <w:t xml:space="preserve"> in </w:t>
      </w:r>
      <w:r w:rsidR="00B43B58" w:rsidRPr="000218B9">
        <w:rPr>
          <w:sz w:val="24"/>
          <w:szCs w:val="24"/>
        </w:rPr>
        <w:t>Russia and</w:t>
      </w:r>
      <w:r w:rsidR="00DC3495" w:rsidRPr="000218B9">
        <w:rPr>
          <w:sz w:val="24"/>
          <w:szCs w:val="24"/>
        </w:rPr>
        <w:t xml:space="preserve"> </w:t>
      </w:r>
      <w:r w:rsidR="00886FC8" w:rsidRPr="000218B9">
        <w:rPr>
          <w:sz w:val="24"/>
          <w:szCs w:val="24"/>
        </w:rPr>
        <w:t xml:space="preserve">almost </w:t>
      </w:r>
      <w:r w:rsidR="00DC3495" w:rsidRPr="000218B9">
        <w:rPr>
          <w:sz w:val="24"/>
          <w:szCs w:val="24"/>
        </w:rPr>
        <w:t>anywhere else</w:t>
      </w:r>
      <w:r w:rsidR="001F5B8B" w:rsidRPr="000218B9">
        <w:rPr>
          <w:sz w:val="24"/>
          <w:szCs w:val="24"/>
        </w:rPr>
        <w:t xml:space="preserve"> in Europe</w:t>
      </w:r>
      <w:r w:rsidR="00EE0102" w:rsidRPr="000218B9">
        <w:rPr>
          <w:sz w:val="24"/>
          <w:szCs w:val="24"/>
        </w:rPr>
        <w:t>, for being a politically dangerous person</w:t>
      </w:r>
      <w:r w:rsidR="00DC3495" w:rsidRPr="000218B9">
        <w:rPr>
          <w:sz w:val="24"/>
          <w:szCs w:val="24"/>
        </w:rPr>
        <w:t>!</w:t>
      </w:r>
      <w:r w:rsidR="008179EB" w:rsidRPr="000218B9">
        <w:rPr>
          <w:sz w:val="24"/>
          <w:szCs w:val="24"/>
        </w:rPr>
        <w:t xml:space="preserve">  </w:t>
      </w:r>
    </w:p>
    <w:p w:rsidR="00886FC8" w:rsidRPr="000218B9" w:rsidRDefault="008E0ED0" w:rsidP="00834E70">
      <w:pPr>
        <w:spacing w:line="360" w:lineRule="auto"/>
        <w:rPr>
          <w:sz w:val="24"/>
          <w:szCs w:val="24"/>
        </w:rPr>
      </w:pPr>
      <w:r w:rsidRPr="000218B9">
        <w:rPr>
          <w:b/>
          <w:sz w:val="24"/>
          <w:szCs w:val="24"/>
          <w:highlight w:val="yellow"/>
        </w:rPr>
        <w:t>[</w:t>
      </w:r>
      <w:r w:rsidR="008179EB" w:rsidRPr="000218B9">
        <w:rPr>
          <w:b/>
          <w:sz w:val="24"/>
          <w:szCs w:val="24"/>
          <w:highlight w:val="yellow"/>
        </w:rPr>
        <w:t>SLIDE 5</w:t>
      </w:r>
      <w:r w:rsidRPr="000218B9">
        <w:rPr>
          <w:b/>
          <w:sz w:val="24"/>
          <w:szCs w:val="24"/>
          <w:highlight w:val="yellow"/>
        </w:rPr>
        <w:t>]</w:t>
      </w:r>
      <w:r w:rsidRPr="000218B9">
        <w:rPr>
          <w:sz w:val="24"/>
          <w:szCs w:val="24"/>
        </w:rPr>
        <w:t xml:space="preserve"> </w:t>
      </w:r>
      <w:r w:rsidR="008179EB" w:rsidRPr="000218B9">
        <w:rPr>
          <w:sz w:val="24"/>
          <w:szCs w:val="24"/>
        </w:rPr>
        <w:t xml:space="preserve"> </w:t>
      </w:r>
      <w:r w:rsidRPr="000218B9">
        <w:rPr>
          <w:sz w:val="24"/>
          <w:szCs w:val="24"/>
        </w:rPr>
        <w:t>In the era that</w:t>
      </w:r>
      <w:r w:rsidR="001F5B8B" w:rsidRPr="000218B9">
        <w:rPr>
          <w:sz w:val="24"/>
          <w:szCs w:val="24"/>
        </w:rPr>
        <w:t xml:space="preserve"> Howard’s book was</w:t>
      </w:r>
      <w:r w:rsidR="00881D7B" w:rsidRPr="000218B9">
        <w:rPr>
          <w:sz w:val="24"/>
          <w:szCs w:val="24"/>
        </w:rPr>
        <w:t xml:space="preserve"> first</w:t>
      </w:r>
      <w:r w:rsidR="001F5B8B" w:rsidRPr="000218B9">
        <w:rPr>
          <w:sz w:val="24"/>
          <w:szCs w:val="24"/>
        </w:rPr>
        <w:t xml:space="preserve"> published</w:t>
      </w:r>
      <w:r w:rsidRPr="000218B9">
        <w:rPr>
          <w:sz w:val="24"/>
          <w:szCs w:val="24"/>
        </w:rPr>
        <w:t>, anarchism was a hot news topic</w:t>
      </w:r>
      <w:r w:rsidR="00EC5B86" w:rsidRPr="000218B9">
        <w:rPr>
          <w:sz w:val="24"/>
          <w:szCs w:val="24"/>
        </w:rPr>
        <w:t>,</w:t>
      </w:r>
      <w:r w:rsidRPr="000218B9">
        <w:rPr>
          <w:sz w:val="24"/>
          <w:szCs w:val="24"/>
        </w:rPr>
        <w:t xml:space="preserve"> </w:t>
      </w:r>
      <w:r w:rsidR="008E6C62" w:rsidRPr="000218B9">
        <w:rPr>
          <w:sz w:val="24"/>
          <w:szCs w:val="24"/>
        </w:rPr>
        <w:t xml:space="preserve">largely </w:t>
      </w:r>
      <w:r w:rsidRPr="000218B9">
        <w:rPr>
          <w:sz w:val="24"/>
          <w:szCs w:val="24"/>
        </w:rPr>
        <w:t>associated with assassinations</w:t>
      </w:r>
      <w:r w:rsidR="00CF0DFA" w:rsidRPr="000218B9">
        <w:rPr>
          <w:sz w:val="24"/>
          <w:szCs w:val="24"/>
        </w:rPr>
        <w:t xml:space="preserve"> of heads of state</w:t>
      </w:r>
      <w:r w:rsidR="00E97D40" w:rsidRPr="000218B9">
        <w:rPr>
          <w:sz w:val="24"/>
          <w:szCs w:val="24"/>
        </w:rPr>
        <w:t xml:space="preserve"> in the USA</w:t>
      </w:r>
      <w:r w:rsidR="00E71E9D" w:rsidRPr="000218B9">
        <w:rPr>
          <w:sz w:val="24"/>
          <w:szCs w:val="24"/>
        </w:rPr>
        <w:t>, France, Italy</w:t>
      </w:r>
      <w:r w:rsidR="00E97D40" w:rsidRPr="000218B9">
        <w:rPr>
          <w:sz w:val="24"/>
          <w:szCs w:val="24"/>
        </w:rPr>
        <w:t xml:space="preserve"> and </w:t>
      </w:r>
      <w:r w:rsidR="00E97D40" w:rsidRPr="000218B9">
        <w:rPr>
          <w:sz w:val="24"/>
          <w:szCs w:val="24"/>
        </w:rPr>
        <w:lastRenderedPageBreak/>
        <w:t>Russia</w:t>
      </w:r>
      <w:r w:rsidR="00BA2521" w:rsidRPr="000218B9">
        <w:rPr>
          <w:sz w:val="24"/>
          <w:szCs w:val="24"/>
        </w:rPr>
        <w:t>,</w:t>
      </w:r>
      <w:r w:rsidRPr="000218B9">
        <w:rPr>
          <w:sz w:val="24"/>
          <w:szCs w:val="24"/>
        </w:rPr>
        <w:t xml:space="preserve"> </w:t>
      </w:r>
      <w:r w:rsidR="00D17403" w:rsidRPr="000218B9">
        <w:rPr>
          <w:sz w:val="24"/>
          <w:szCs w:val="24"/>
        </w:rPr>
        <w:t xml:space="preserve">as well as </w:t>
      </w:r>
      <w:r w:rsidR="00E71E9D" w:rsidRPr="000218B9">
        <w:rPr>
          <w:sz w:val="24"/>
          <w:szCs w:val="24"/>
        </w:rPr>
        <w:t xml:space="preserve">reportage of </w:t>
      </w:r>
      <w:r w:rsidR="00CF0DFA" w:rsidRPr="000218B9">
        <w:rPr>
          <w:sz w:val="24"/>
          <w:szCs w:val="24"/>
        </w:rPr>
        <w:t>real or alleged</w:t>
      </w:r>
      <w:r w:rsidRPr="000218B9">
        <w:rPr>
          <w:sz w:val="24"/>
          <w:szCs w:val="24"/>
        </w:rPr>
        <w:t xml:space="preserve"> terrorist plots</w:t>
      </w:r>
      <w:r w:rsidR="00A7602B" w:rsidRPr="000218B9">
        <w:rPr>
          <w:sz w:val="24"/>
          <w:szCs w:val="24"/>
        </w:rPr>
        <w:t>,</w:t>
      </w:r>
      <w:r w:rsidRPr="000218B9">
        <w:rPr>
          <w:sz w:val="24"/>
          <w:szCs w:val="24"/>
        </w:rPr>
        <w:t xml:space="preserve"> out of which this cartoon trope of the bomb-bearing anarchist </w:t>
      </w:r>
      <w:r w:rsidR="00EC5B86" w:rsidRPr="000218B9">
        <w:rPr>
          <w:sz w:val="24"/>
          <w:szCs w:val="24"/>
        </w:rPr>
        <w:t xml:space="preserve">ultimately </w:t>
      </w:r>
      <w:r w:rsidRPr="000218B9">
        <w:rPr>
          <w:sz w:val="24"/>
          <w:szCs w:val="24"/>
        </w:rPr>
        <w:t>developed.</w:t>
      </w:r>
      <w:r w:rsidRPr="000218B9">
        <w:rPr>
          <w:rStyle w:val="FootnoteReference"/>
          <w:sz w:val="24"/>
          <w:szCs w:val="24"/>
        </w:rPr>
        <w:footnoteReference w:id="4"/>
      </w:r>
      <w:r w:rsidR="008E6C62" w:rsidRPr="000218B9">
        <w:rPr>
          <w:sz w:val="24"/>
          <w:szCs w:val="24"/>
        </w:rPr>
        <w:t xml:space="preserve">  </w:t>
      </w:r>
    </w:p>
    <w:p w:rsidR="001304BD" w:rsidRPr="000218B9" w:rsidRDefault="00886FC8" w:rsidP="00834E70">
      <w:pPr>
        <w:spacing w:line="360" w:lineRule="auto"/>
        <w:rPr>
          <w:sz w:val="24"/>
          <w:szCs w:val="24"/>
        </w:rPr>
      </w:pPr>
      <w:r w:rsidRPr="000218B9">
        <w:rPr>
          <w:sz w:val="24"/>
          <w:szCs w:val="24"/>
        </w:rPr>
        <w:t xml:space="preserve">This </w:t>
      </w:r>
      <w:r w:rsidR="008E6C62" w:rsidRPr="000218B9">
        <w:rPr>
          <w:sz w:val="24"/>
          <w:szCs w:val="24"/>
        </w:rPr>
        <w:t xml:space="preserve">brief </w:t>
      </w:r>
      <w:r w:rsidRPr="000218B9">
        <w:rPr>
          <w:sz w:val="24"/>
          <w:szCs w:val="24"/>
        </w:rPr>
        <w:t xml:space="preserve">paper asks three questions.  Firstly: </w:t>
      </w:r>
      <w:r w:rsidR="008E6C62" w:rsidRPr="000218B9">
        <w:rPr>
          <w:sz w:val="24"/>
          <w:szCs w:val="24"/>
        </w:rPr>
        <w:t xml:space="preserve">Why should </w:t>
      </w:r>
      <w:r w:rsidR="00A40797" w:rsidRPr="000218B9">
        <w:rPr>
          <w:sz w:val="24"/>
          <w:szCs w:val="24"/>
        </w:rPr>
        <w:t>Ebene</w:t>
      </w:r>
      <w:r w:rsidR="003C4C39" w:rsidRPr="000218B9">
        <w:rPr>
          <w:sz w:val="24"/>
          <w:szCs w:val="24"/>
        </w:rPr>
        <w:t xml:space="preserve">zer </w:t>
      </w:r>
      <w:r w:rsidR="0025573D" w:rsidRPr="000218B9">
        <w:rPr>
          <w:sz w:val="24"/>
          <w:szCs w:val="24"/>
        </w:rPr>
        <w:t>Howard reference</w:t>
      </w:r>
      <w:r w:rsidR="00A40797" w:rsidRPr="000218B9">
        <w:rPr>
          <w:sz w:val="24"/>
          <w:szCs w:val="24"/>
        </w:rPr>
        <w:t xml:space="preserve"> the ideas of </w:t>
      </w:r>
      <w:r w:rsidR="00D17403" w:rsidRPr="000218B9">
        <w:rPr>
          <w:sz w:val="24"/>
          <w:szCs w:val="24"/>
        </w:rPr>
        <w:t>a Russian anarchist</w:t>
      </w:r>
      <w:r w:rsidR="000A62E0" w:rsidRPr="000218B9">
        <w:rPr>
          <w:sz w:val="24"/>
          <w:szCs w:val="24"/>
        </w:rPr>
        <w:t xml:space="preserve">, in </w:t>
      </w:r>
      <w:r w:rsidR="0025573D" w:rsidRPr="000218B9">
        <w:rPr>
          <w:sz w:val="24"/>
          <w:szCs w:val="24"/>
        </w:rPr>
        <w:t>r</w:t>
      </w:r>
      <w:r w:rsidR="000A62E0" w:rsidRPr="000218B9">
        <w:rPr>
          <w:sz w:val="24"/>
          <w:szCs w:val="24"/>
        </w:rPr>
        <w:t>ela</w:t>
      </w:r>
      <w:r w:rsidR="00480C6B" w:rsidRPr="000218B9">
        <w:rPr>
          <w:sz w:val="24"/>
          <w:szCs w:val="24"/>
        </w:rPr>
        <w:t>tion to the</w:t>
      </w:r>
      <w:r w:rsidR="0025573D" w:rsidRPr="000218B9">
        <w:rPr>
          <w:sz w:val="24"/>
          <w:szCs w:val="24"/>
        </w:rPr>
        <w:t xml:space="preserve"> u</w:t>
      </w:r>
      <w:r w:rsidR="000A62E0" w:rsidRPr="000218B9">
        <w:rPr>
          <w:sz w:val="24"/>
          <w:szCs w:val="24"/>
        </w:rPr>
        <w:t>topian ideal of the Garden Cit</w:t>
      </w:r>
      <w:r w:rsidR="00770362" w:rsidRPr="000218B9">
        <w:rPr>
          <w:sz w:val="24"/>
          <w:szCs w:val="24"/>
        </w:rPr>
        <w:t>y</w:t>
      </w:r>
      <w:r w:rsidR="000811E1" w:rsidRPr="000218B9">
        <w:rPr>
          <w:sz w:val="24"/>
          <w:szCs w:val="24"/>
        </w:rPr>
        <w:t xml:space="preserve"> as a possible element of a </w:t>
      </w:r>
      <w:r w:rsidR="000811E1" w:rsidRPr="000218B9">
        <w:rPr>
          <w:b/>
          <w:sz w:val="24"/>
          <w:szCs w:val="24"/>
        </w:rPr>
        <w:t>capitalist</w:t>
      </w:r>
      <w:r w:rsidR="000811E1" w:rsidRPr="000218B9">
        <w:rPr>
          <w:sz w:val="24"/>
          <w:szCs w:val="24"/>
        </w:rPr>
        <w:t xml:space="preserve"> economic structure</w:t>
      </w:r>
      <w:r w:rsidR="00770362" w:rsidRPr="000218B9">
        <w:rPr>
          <w:sz w:val="24"/>
          <w:szCs w:val="24"/>
        </w:rPr>
        <w:t>?  In answer to this question, I am</w:t>
      </w:r>
      <w:r w:rsidR="00324A68" w:rsidRPr="000218B9">
        <w:rPr>
          <w:sz w:val="24"/>
          <w:szCs w:val="24"/>
        </w:rPr>
        <w:t xml:space="preserve"> ultimately</w:t>
      </w:r>
      <w:r w:rsidR="00770362" w:rsidRPr="000218B9">
        <w:rPr>
          <w:sz w:val="24"/>
          <w:szCs w:val="24"/>
        </w:rPr>
        <w:t xml:space="preserve"> goi</w:t>
      </w:r>
      <w:r w:rsidR="00D73DBE" w:rsidRPr="000218B9">
        <w:rPr>
          <w:sz w:val="24"/>
          <w:szCs w:val="24"/>
        </w:rPr>
        <w:t xml:space="preserve">ng to suggest that the </w:t>
      </w:r>
      <w:r w:rsidR="000811E1" w:rsidRPr="000218B9">
        <w:rPr>
          <w:sz w:val="24"/>
          <w:szCs w:val="24"/>
        </w:rPr>
        <w:t>reference</w:t>
      </w:r>
      <w:r w:rsidR="00770362" w:rsidRPr="000218B9">
        <w:rPr>
          <w:sz w:val="24"/>
          <w:szCs w:val="24"/>
        </w:rPr>
        <w:t xml:space="preserve"> may have had much to do with how Kropotkin was perceived </w:t>
      </w:r>
      <w:r w:rsidR="000811E1" w:rsidRPr="000218B9">
        <w:rPr>
          <w:sz w:val="24"/>
          <w:szCs w:val="24"/>
        </w:rPr>
        <w:t xml:space="preserve">in Britain </w:t>
      </w:r>
      <w:r w:rsidR="00770362" w:rsidRPr="000218B9">
        <w:rPr>
          <w:sz w:val="24"/>
          <w:szCs w:val="24"/>
        </w:rPr>
        <w:t>at the time</w:t>
      </w:r>
      <w:r w:rsidR="00F54504" w:rsidRPr="000218B9">
        <w:rPr>
          <w:sz w:val="24"/>
          <w:szCs w:val="24"/>
        </w:rPr>
        <w:t xml:space="preserve"> by many </w:t>
      </w:r>
      <w:r w:rsidR="00324A68" w:rsidRPr="000218B9">
        <w:rPr>
          <w:sz w:val="24"/>
          <w:szCs w:val="24"/>
        </w:rPr>
        <w:t>people – as a serious</w:t>
      </w:r>
      <w:r w:rsidR="00206845" w:rsidRPr="000218B9">
        <w:rPr>
          <w:sz w:val="24"/>
          <w:szCs w:val="24"/>
        </w:rPr>
        <w:t xml:space="preserve"> </w:t>
      </w:r>
      <w:r w:rsidR="00ED33C9" w:rsidRPr="000218B9">
        <w:rPr>
          <w:sz w:val="24"/>
          <w:szCs w:val="24"/>
        </w:rPr>
        <w:t>scientific</w:t>
      </w:r>
      <w:r w:rsidR="00F54504" w:rsidRPr="000218B9">
        <w:rPr>
          <w:sz w:val="24"/>
          <w:szCs w:val="24"/>
        </w:rPr>
        <w:t>,</w:t>
      </w:r>
      <w:r w:rsidR="00E71E9D" w:rsidRPr="000218B9">
        <w:rPr>
          <w:sz w:val="24"/>
          <w:szCs w:val="24"/>
        </w:rPr>
        <w:t xml:space="preserve"> academic writer, rather than a dangerous anarchist</w:t>
      </w:r>
      <w:r w:rsidR="000811E1" w:rsidRPr="000218B9">
        <w:rPr>
          <w:sz w:val="24"/>
          <w:szCs w:val="24"/>
        </w:rPr>
        <w:t>.</w:t>
      </w:r>
      <w:r w:rsidR="00324A68" w:rsidRPr="000218B9">
        <w:rPr>
          <w:sz w:val="24"/>
          <w:szCs w:val="24"/>
        </w:rPr>
        <w:t xml:space="preserve">  </w:t>
      </w:r>
      <w:r w:rsidR="006D43F2" w:rsidRPr="000218B9">
        <w:rPr>
          <w:sz w:val="24"/>
          <w:szCs w:val="24"/>
        </w:rPr>
        <w:t>My second question is</w:t>
      </w:r>
      <w:r w:rsidRPr="000218B9">
        <w:rPr>
          <w:sz w:val="24"/>
          <w:szCs w:val="24"/>
        </w:rPr>
        <w:t xml:space="preserve">: </w:t>
      </w:r>
      <w:r w:rsidR="00F54504" w:rsidRPr="000218B9">
        <w:rPr>
          <w:sz w:val="24"/>
          <w:szCs w:val="24"/>
        </w:rPr>
        <w:t xml:space="preserve">was Kropotkin </w:t>
      </w:r>
      <w:r w:rsidR="00026B58" w:rsidRPr="000218B9">
        <w:rPr>
          <w:sz w:val="24"/>
          <w:szCs w:val="24"/>
        </w:rPr>
        <w:t xml:space="preserve">reciprocally </w:t>
      </w:r>
      <w:r w:rsidR="00F54504" w:rsidRPr="000218B9">
        <w:rPr>
          <w:sz w:val="24"/>
          <w:szCs w:val="24"/>
        </w:rPr>
        <w:t>interested in L</w:t>
      </w:r>
      <w:r w:rsidR="006D43F2" w:rsidRPr="000218B9">
        <w:rPr>
          <w:sz w:val="24"/>
          <w:szCs w:val="24"/>
        </w:rPr>
        <w:t>e</w:t>
      </w:r>
      <w:r w:rsidR="004115D3" w:rsidRPr="000218B9">
        <w:rPr>
          <w:sz w:val="24"/>
          <w:szCs w:val="24"/>
        </w:rPr>
        <w:t>tchworth?  The answer to this will be</w:t>
      </w:r>
      <w:r w:rsidR="006D43F2" w:rsidRPr="000218B9">
        <w:rPr>
          <w:sz w:val="24"/>
          <w:szCs w:val="24"/>
        </w:rPr>
        <w:t>, yes, there is some evidence that he was.  So following on from this, the third question is: did Kropotkin ever visit Letchworth?</w:t>
      </w:r>
      <w:r w:rsidR="00F54504" w:rsidRPr="000218B9">
        <w:rPr>
          <w:sz w:val="24"/>
          <w:szCs w:val="24"/>
        </w:rPr>
        <w:t xml:space="preserve"> </w:t>
      </w:r>
      <w:r w:rsidR="006D43F2" w:rsidRPr="000218B9">
        <w:rPr>
          <w:sz w:val="24"/>
          <w:szCs w:val="24"/>
        </w:rPr>
        <w:t xml:space="preserve"> Here I will argue speculatively that he probably visited Letch</w:t>
      </w:r>
      <w:r w:rsidR="00D847F2" w:rsidRPr="000218B9">
        <w:rPr>
          <w:sz w:val="24"/>
          <w:szCs w:val="24"/>
        </w:rPr>
        <w:t>worth more than</w:t>
      </w:r>
      <w:r w:rsidR="006D43F2" w:rsidRPr="000218B9">
        <w:rPr>
          <w:sz w:val="24"/>
          <w:szCs w:val="24"/>
        </w:rPr>
        <w:t xml:space="preserve"> once</w:t>
      </w:r>
      <w:r w:rsidR="00D847F2" w:rsidRPr="000218B9">
        <w:rPr>
          <w:sz w:val="24"/>
          <w:szCs w:val="24"/>
        </w:rPr>
        <w:t>,</w:t>
      </w:r>
      <w:r w:rsidR="00F54504" w:rsidRPr="000218B9">
        <w:rPr>
          <w:sz w:val="24"/>
          <w:szCs w:val="24"/>
        </w:rPr>
        <w:t xml:space="preserve"> </w:t>
      </w:r>
      <w:r w:rsidR="00D847F2" w:rsidRPr="000218B9">
        <w:rPr>
          <w:sz w:val="24"/>
          <w:szCs w:val="24"/>
        </w:rPr>
        <w:t xml:space="preserve">but </w:t>
      </w:r>
      <w:r w:rsidR="00F54504" w:rsidRPr="000218B9">
        <w:rPr>
          <w:sz w:val="24"/>
          <w:szCs w:val="24"/>
        </w:rPr>
        <w:t>little c</w:t>
      </w:r>
      <w:r w:rsidR="00D847F2" w:rsidRPr="000218B9">
        <w:rPr>
          <w:sz w:val="24"/>
          <w:szCs w:val="24"/>
        </w:rPr>
        <w:t>onc</w:t>
      </w:r>
      <w:r w:rsidR="005D37D8" w:rsidRPr="000218B9">
        <w:rPr>
          <w:sz w:val="24"/>
          <w:szCs w:val="24"/>
        </w:rPr>
        <w:t>rete evidence of such visits has</w:t>
      </w:r>
      <w:r w:rsidR="00D847F2" w:rsidRPr="000218B9">
        <w:rPr>
          <w:sz w:val="24"/>
          <w:szCs w:val="24"/>
        </w:rPr>
        <w:t xml:space="preserve"> yet come to light</w:t>
      </w:r>
      <w:r w:rsidR="00F54504" w:rsidRPr="000218B9">
        <w:rPr>
          <w:sz w:val="24"/>
          <w:szCs w:val="24"/>
        </w:rPr>
        <w:t xml:space="preserve">.  </w:t>
      </w:r>
    </w:p>
    <w:p w:rsidR="004115D3" w:rsidRPr="000218B9" w:rsidRDefault="005D37D8" w:rsidP="00834E70">
      <w:pPr>
        <w:spacing w:line="360" w:lineRule="auto"/>
        <w:rPr>
          <w:sz w:val="24"/>
          <w:szCs w:val="24"/>
          <w:u w:val="single"/>
        </w:rPr>
      </w:pPr>
      <w:r w:rsidRPr="000218B9">
        <w:rPr>
          <w:b/>
          <w:sz w:val="24"/>
          <w:szCs w:val="24"/>
          <w:highlight w:val="yellow"/>
          <w:u w:val="single"/>
        </w:rPr>
        <w:t>[SLIDE 6]</w:t>
      </w:r>
      <w:r w:rsidRPr="000218B9">
        <w:rPr>
          <w:sz w:val="24"/>
          <w:szCs w:val="24"/>
          <w:u w:val="single"/>
        </w:rPr>
        <w:t xml:space="preserve"> </w:t>
      </w:r>
      <w:r w:rsidR="001304BD" w:rsidRPr="000218B9">
        <w:rPr>
          <w:sz w:val="24"/>
          <w:szCs w:val="24"/>
          <w:u w:val="single"/>
        </w:rPr>
        <w:t xml:space="preserve">Q.1: </w:t>
      </w:r>
      <w:r w:rsidR="00D73DBE" w:rsidRPr="000218B9">
        <w:rPr>
          <w:sz w:val="24"/>
          <w:szCs w:val="24"/>
          <w:u w:val="single"/>
        </w:rPr>
        <w:t xml:space="preserve">Why should Ebenezer Howard reference the ideas of the </w:t>
      </w:r>
      <w:r w:rsidR="00784148" w:rsidRPr="000218B9">
        <w:rPr>
          <w:sz w:val="24"/>
          <w:szCs w:val="24"/>
          <w:u w:val="single"/>
        </w:rPr>
        <w:t>Russian anarchist Prince</w:t>
      </w:r>
      <w:r w:rsidR="00D73DBE" w:rsidRPr="000218B9">
        <w:rPr>
          <w:sz w:val="24"/>
          <w:szCs w:val="24"/>
          <w:u w:val="single"/>
        </w:rPr>
        <w:t xml:space="preserve">, in relation to the utopian ideal of the Garden City as a possible element of a </w:t>
      </w:r>
      <w:r w:rsidR="00D73DBE" w:rsidRPr="000218B9">
        <w:rPr>
          <w:b/>
          <w:sz w:val="24"/>
          <w:szCs w:val="24"/>
          <w:u w:val="single"/>
        </w:rPr>
        <w:t>capitalist</w:t>
      </w:r>
      <w:r w:rsidR="00D73DBE" w:rsidRPr="000218B9">
        <w:rPr>
          <w:sz w:val="24"/>
          <w:szCs w:val="24"/>
          <w:u w:val="single"/>
        </w:rPr>
        <w:t xml:space="preserve"> economic structure?</w:t>
      </w:r>
    </w:p>
    <w:p w:rsidR="0092301D" w:rsidRPr="000218B9" w:rsidRDefault="004115D3" w:rsidP="00834E70">
      <w:pPr>
        <w:spacing w:line="360" w:lineRule="auto"/>
        <w:rPr>
          <w:sz w:val="24"/>
          <w:szCs w:val="24"/>
        </w:rPr>
      </w:pPr>
      <w:r w:rsidRPr="000218B9">
        <w:rPr>
          <w:sz w:val="24"/>
          <w:szCs w:val="24"/>
        </w:rPr>
        <w:t>Howard’s idea</w:t>
      </w:r>
      <w:r w:rsidR="00992FB6" w:rsidRPr="000218B9">
        <w:rPr>
          <w:sz w:val="24"/>
          <w:szCs w:val="24"/>
        </w:rPr>
        <w:t xml:space="preserve"> of the Garden C</w:t>
      </w:r>
      <w:r w:rsidR="0018112D" w:rsidRPr="000218B9">
        <w:rPr>
          <w:sz w:val="24"/>
          <w:szCs w:val="24"/>
        </w:rPr>
        <w:t>ity</w:t>
      </w:r>
      <w:r w:rsidR="00D60E9F" w:rsidRPr="000218B9">
        <w:rPr>
          <w:sz w:val="24"/>
          <w:szCs w:val="24"/>
        </w:rPr>
        <w:t xml:space="preserve"> </w:t>
      </w:r>
      <w:r w:rsidRPr="000218B9">
        <w:rPr>
          <w:sz w:val="24"/>
          <w:szCs w:val="24"/>
        </w:rPr>
        <w:t>set out to address a</w:t>
      </w:r>
      <w:r w:rsidR="00536C7C" w:rsidRPr="000218B9">
        <w:rPr>
          <w:sz w:val="24"/>
          <w:szCs w:val="24"/>
        </w:rPr>
        <w:t xml:space="preserve">spects of a </w:t>
      </w:r>
      <w:r w:rsidRPr="000218B9">
        <w:rPr>
          <w:sz w:val="24"/>
          <w:szCs w:val="24"/>
        </w:rPr>
        <w:t xml:space="preserve">known set of social problems </w:t>
      </w:r>
      <w:r w:rsidR="002D4C0F" w:rsidRPr="000218B9">
        <w:rPr>
          <w:sz w:val="24"/>
          <w:szCs w:val="24"/>
        </w:rPr>
        <w:t>relating to the working classes in urban envi</w:t>
      </w:r>
      <w:r w:rsidR="0018112D" w:rsidRPr="000218B9">
        <w:rPr>
          <w:sz w:val="24"/>
          <w:szCs w:val="24"/>
        </w:rPr>
        <w:t xml:space="preserve">ronments </w:t>
      </w:r>
      <w:r w:rsidR="002D4C0F" w:rsidRPr="000218B9">
        <w:rPr>
          <w:sz w:val="24"/>
          <w:szCs w:val="24"/>
        </w:rPr>
        <w:t xml:space="preserve"> –</w:t>
      </w:r>
      <w:r w:rsidR="00536C7C" w:rsidRPr="000218B9">
        <w:rPr>
          <w:sz w:val="24"/>
          <w:szCs w:val="24"/>
        </w:rPr>
        <w:t xml:space="preserve"> not</w:t>
      </w:r>
      <w:r w:rsidR="00B53AAA" w:rsidRPr="000218B9">
        <w:rPr>
          <w:sz w:val="24"/>
          <w:szCs w:val="24"/>
        </w:rPr>
        <w:t>ably:</w:t>
      </w:r>
      <w:r w:rsidR="00536C7C" w:rsidRPr="000218B9">
        <w:rPr>
          <w:sz w:val="24"/>
          <w:szCs w:val="24"/>
        </w:rPr>
        <w:t xml:space="preserve"> </w:t>
      </w:r>
      <w:r w:rsidR="00103A63" w:rsidRPr="000218B9">
        <w:rPr>
          <w:sz w:val="24"/>
          <w:szCs w:val="24"/>
        </w:rPr>
        <w:t xml:space="preserve">poverty, </w:t>
      </w:r>
      <w:r w:rsidR="00536C7C" w:rsidRPr="000218B9">
        <w:rPr>
          <w:sz w:val="24"/>
          <w:szCs w:val="24"/>
        </w:rPr>
        <w:t>disease, squalor, poor sanitation,</w:t>
      </w:r>
      <w:r w:rsidR="00103A63" w:rsidRPr="000218B9">
        <w:rPr>
          <w:sz w:val="24"/>
          <w:szCs w:val="24"/>
        </w:rPr>
        <w:t xml:space="preserve"> overcrowding, poor working conditions</w:t>
      </w:r>
      <w:r w:rsidR="00B53AAA" w:rsidRPr="000218B9">
        <w:rPr>
          <w:sz w:val="24"/>
          <w:szCs w:val="24"/>
        </w:rPr>
        <w:t>,</w:t>
      </w:r>
      <w:r w:rsidR="00103A63" w:rsidRPr="000218B9">
        <w:rPr>
          <w:sz w:val="24"/>
          <w:szCs w:val="24"/>
        </w:rPr>
        <w:t xml:space="preserve"> and low wages</w:t>
      </w:r>
      <w:r w:rsidR="00536C7C" w:rsidRPr="000218B9">
        <w:rPr>
          <w:sz w:val="24"/>
          <w:szCs w:val="24"/>
        </w:rPr>
        <w:t>.  These had been increasingly flagged up</w:t>
      </w:r>
      <w:r w:rsidR="00A731FB" w:rsidRPr="000218B9">
        <w:rPr>
          <w:sz w:val="24"/>
          <w:szCs w:val="24"/>
        </w:rPr>
        <w:t xml:space="preserve"> in </w:t>
      </w:r>
      <w:r w:rsidR="00415C1A" w:rsidRPr="000218B9">
        <w:rPr>
          <w:sz w:val="24"/>
          <w:szCs w:val="24"/>
        </w:rPr>
        <w:t xml:space="preserve">a number of </w:t>
      </w:r>
      <w:r w:rsidR="00D76266" w:rsidRPr="000218B9">
        <w:rPr>
          <w:sz w:val="24"/>
          <w:szCs w:val="24"/>
        </w:rPr>
        <w:t xml:space="preserve">prominent </w:t>
      </w:r>
      <w:r w:rsidR="00A731FB" w:rsidRPr="000218B9">
        <w:rPr>
          <w:sz w:val="24"/>
          <w:szCs w:val="24"/>
        </w:rPr>
        <w:t>publications</w:t>
      </w:r>
      <w:r w:rsidR="00536C7C" w:rsidRPr="000218B9">
        <w:rPr>
          <w:sz w:val="24"/>
          <w:szCs w:val="24"/>
        </w:rPr>
        <w:t xml:space="preserve"> during the latter half of the C19th by va</w:t>
      </w:r>
      <w:r w:rsidR="00415C1A" w:rsidRPr="000218B9">
        <w:rPr>
          <w:sz w:val="24"/>
          <w:szCs w:val="24"/>
        </w:rPr>
        <w:t>rious social critics</w:t>
      </w:r>
      <w:r w:rsidR="00812BDB" w:rsidRPr="000218B9">
        <w:rPr>
          <w:sz w:val="24"/>
          <w:szCs w:val="24"/>
        </w:rPr>
        <w:t>,</w:t>
      </w:r>
      <w:r w:rsidR="005C0AAE" w:rsidRPr="000218B9">
        <w:rPr>
          <w:rStyle w:val="FootnoteReference"/>
          <w:sz w:val="24"/>
          <w:szCs w:val="24"/>
        </w:rPr>
        <w:footnoteReference w:id="5"/>
      </w:r>
      <w:r w:rsidR="005C0AAE" w:rsidRPr="000218B9">
        <w:rPr>
          <w:sz w:val="24"/>
          <w:szCs w:val="24"/>
        </w:rPr>
        <w:t xml:space="preserve"> perhaps most</w:t>
      </w:r>
      <w:r w:rsidR="00A731FB" w:rsidRPr="000218B9">
        <w:rPr>
          <w:sz w:val="24"/>
          <w:szCs w:val="24"/>
        </w:rPr>
        <w:t xml:space="preserve"> </w:t>
      </w:r>
      <w:r w:rsidR="00992FB6" w:rsidRPr="000218B9">
        <w:rPr>
          <w:sz w:val="24"/>
          <w:szCs w:val="24"/>
        </w:rPr>
        <w:t>s</w:t>
      </w:r>
      <w:r w:rsidR="00784148" w:rsidRPr="000218B9">
        <w:rPr>
          <w:sz w:val="24"/>
          <w:szCs w:val="24"/>
        </w:rPr>
        <w:t>ignificantly in</w:t>
      </w:r>
      <w:r w:rsidR="005C0AAE" w:rsidRPr="000218B9">
        <w:rPr>
          <w:sz w:val="24"/>
          <w:szCs w:val="24"/>
        </w:rPr>
        <w:t xml:space="preserve"> </w:t>
      </w:r>
      <w:r w:rsidR="00992FB6" w:rsidRPr="000218B9">
        <w:rPr>
          <w:sz w:val="24"/>
          <w:szCs w:val="24"/>
        </w:rPr>
        <w:t>Charles Booth</w:t>
      </w:r>
      <w:r w:rsidR="00415C1A" w:rsidRPr="000218B9">
        <w:rPr>
          <w:sz w:val="24"/>
          <w:szCs w:val="24"/>
        </w:rPr>
        <w:t xml:space="preserve">’s survey of </w:t>
      </w:r>
      <w:r w:rsidR="00415C1A" w:rsidRPr="000218B9">
        <w:rPr>
          <w:sz w:val="24"/>
          <w:szCs w:val="24"/>
        </w:rPr>
        <w:lastRenderedPageBreak/>
        <w:t>the London poor</w:t>
      </w:r>
      <w:r w:rsidR="00CF18BC" w:rsidRPr="000218B9">
        <w:rPr>
          <w:sz w:val="24"/>
          <w:szCs w:val="24"/>
        </w:rPr>
        <w:t xml:space="preserve">, </w:t>
      </w:r>
      <w:r w:rsidR="00992FB6" w:rsidRPr="000218B9">
        <w:rPr>
          <w:sz w:val="24"/>
          <w:szCs w:val="24"/>
        </w:rPr>
        <w:t>1886</w:t>
      </w:r>
      <w:r w:rsidR="00CF18BC" w:rsidRPr="000218B9">
        <w:rPr>
          <w:sz w:val="24"/>
          <w:szCs w:val="24"/>
        </w:rPr>
        <w:t>-1903</w:t>
      </w:r>
      <w:r w:rsidR="00A731FB" w:rsidRPr="000218B9">
        <w:rPr>
          <w:sz w:val="24"/>
          <w:szCs w:val="24"/>
        </w:rPr>
        <w:t>.</w:t>
      </w:r>
      <w:r w:rsidR="00CF18BC" w:rsidRPr="000218B9">
        <w:rPr>
          <w:rStyle w:val="FootnoteReference"/>
          <w:sz w:val="24"/>
          <w:szCs w:val="24"/>
        </w:rPr>
        <w:footnoteReference w:id="6"/>
      </w:r>
      <w:r w:rsidR="00415C1A" w:rsidRPr="000218B9">
        <w:rPr>
          <w:sz w:val="24"/>
          <w:szCs w:val="24"/>
        </w:rPr>
        <w:t xml:space="preserve">  </w:t>
      </w:r>
      <w:r w:rsidR="00103A63" w:rsidRPr="000218B9">
        <w:rPr>
          <w:sz w:val="24"/>
          <w:szCs w:val="24"/>
        </w:rPr>
        <w:t xml:space="preserve">Increased awareness of these </w:t>
      </w:r>
      <w:proofErr w:type="gramStart"/>
      <w:r w:rsidR="00103A63" w:rsidRPr="000218B9">
        <w:rPr>
          <w:sz w:val="24"/>
          <w:szCs w:val="24"/>
        </w:rPr>
        <w:t>issues</w:t>
      </w:r>
      <w:r w:rsidR="0092301D" w:rsidRPr="000218B9">
        <w:rPr>
          <w:sz w:val="24"/>
          <w:szCs w:val="24"/>
        </w:rPr>
        <w:t>,</w:t>
      </w:r>
      <w:proofErr w:type="gramEnd"/>
      <w:r w:rsidR="0092301D" w:rsidRPr="000218B9">
        <w:rPr>
          <w:sz w:val="24"/>
          <w:szCs w:val="24"/>
        </w:rPr>
        <w:t xml:space="preserve"> fuelled both </w:t>
      </w:r>
      <w:r w:rsidR="0088531D" w:rsidRPr="000218B9">
        <w:rPr>
          <w:sz w:val="24"/>
          <w:szCs w:val="24"/>
        </w:rPr>
        <w:t>a burgeoning</w:t>
      </w:r>
      <w:r w:rsidR="0092301D" w:rsidRPr="000218B9">
        <w:rPr>
          <w:sz w:val="24"/>
          <w:szCs w:val="24"/>
        </w:rPr>
        <w:t xml:space="preserve"> of reformist</w:t>
      </w:r>
      <w:r w:rsidR="00B53AAA" w:rsidRPr="000218B9">
        <w:rPr>
          <w:sz w:val="24"/>
          <w:szCs w:val="24"/>
        </w:rPr>
        <w:t xml:space="preserve"> and revolutionary</w:t>
      </w:r>
      <w:r w:rsidR="0092301D" w:rsidRPr="000218B9">
        <w:rPr>
          <w:sz w:val="24"/>
          <w:szCs w:val="24"/>
        </w:rPr>
        <w:t xml:space="preserve"> socialist organisations in Britain,</w:t>
      </w:r>
      <w:r w:rsidR="00913AD0" w:rsidRPr="000218B9">
        <w:rPr>
          <w:rStyle w:val="FootnoteReference"/>
          <w:sz w:val="24"/>
          <w:szCs w:val="24"/>
        </w:rPr>
        <w:t xml:space="preserve"> </w:t>
      </w:r>
      <w:r w:rsidR="00913AD0" w:rsidRPr="000218B9">
        <w:rPr>
          <w:rStyle w:val="FootnoteReference"/>
          <w:sz w:val="24"/>
          <w:szCs w:val="24"/>
        </w:rPr>
        <w:footnoteReference w:id="7"/>
      </w:r>
      <w:r w:rsidR="0092301D" w:rsidRPr="000218B9">
        <w:rPr>
          <w:sz w:val="24"/>
          <w:szCs w:val="24"/>
        </w:rPr>
        <w:t xml:space="preserve"> and </w:t>
      </w:r>
      <w:r w:rsidR="0088531D" w:rsidRPr="000218B9">
        <w:rPr>
          <w:sz w:val="24"/>
          <w:szCs w:val="24"/>
        </w:rPr>
        <w:t>a growth</w:t>
      </w:r>
      <w:r w:rsidR="0092301D" w:rsidRPr="000218B9">
        <w:rPr>
          <w:sz w:val="24"/>
          <w:szCs w:val="24"/>
        </w:rPr>
        <w:t xml:space="preserve"> of militancy in </w:t>
      </w:r>
      <w:r w:rsidR="00D60E9F" w:rsidRPr="000218B9">
        <w:rPr>
          <w:sz w:val="24"/>
          <w:szCs w:val="24"/>
        </w:rPr>
        <w:t xml:space="preserve">British </w:t>
      </w:r>
      <w:r w:rsidR="0092301D" w:rsidRPr="000218B9">
        <w:rPr>
          <w:sz w:val="24"/>
          <w:szCs w:val="24"/>
        </w:rPr>
        <w:t>trade unions</w:t>
      </w:r>
      <w:r w:rsidR="00277294" w:rsidRPr="000218B9">
        <w:rPr>
          <w:sz w:val="24"/>
          <w:szCs w:val="24"/>
        </w:rPr>
        <w:t xml:space="preserve"> from</w:t>
      </w:r>
      <w:r w:rsidR="00B940F8" w:rsidRPr="000218B9">
        <w:rPr>
          <w:sz w:val="24"/>
          <w:szCs w:val="24"/>
        </w:rPr>
        <w:t xml:space="preserve"> the 1880s</w:t>
      </w:r>
      <w:r w:rsidR="00784148" w:rsidRPr="000218B9">
        <w:rPr>
          <w:sz w:val="24"/>
          <w:szCs w:val="24"/>
        </w:rPr>
        <w:t xml:space="preserve"> onwards</w:t>
      </w:r>
      <w:r w:rsidR="0092301D" w:rsidRPr="000218B9">
        <w:rPr>
          <w:sz w:val="24"/>
          <w:szCs w:val="24"/>
        </w:rPr>
        <w:t>.</w:t>
      </w:r>
      <w:r w:rsidR="00004D0E" w:rsidRPr="000218B9">
        <w:rPr>
          <w:rStyle w:val="FootnoteReference"/>
          <w:sz w:val="24"/>
          <w:szCs w:val="24"/>
        </w:rPr>
        <w:footnoteReference w:id="8"/>
      </w:r>
    </w:p>
    <w:p w:rsidR="00015297" w:rsidRPr="000218B9" w:rsidRDefault="00FF487E" w:rsidP="00834E70">
      <w:pPr>
        <w:spacing w:line="360" w:lineRule="auto"/>
        <w:rPr>
          <w:sz w:val="24"/>
          <w:szCs w:val="24"/>
        </w:rPr>
      </w:pPr>
      <w:r w:rsidRPr="000218B9">
        <w:rPr>
          <w:sz w:val="24"/>
          <w:szCs w:val="24"/>
        </w:rPr>
        <w:t xml:space="preserve">Another thread in contemporary discourse that Howard implicitly </w:t>
      </w:r>
      <w:proofErr w:type="gramStart"/>
      <w:r w:rsidRPr="000218B9">
        <w:rPr>
          <w:sz w:val="24"/>
          <w:szCs w:val="24"/>
        </w:rPr>
        <w:t>addressed,</w:t>
      </w:r>
      <w:proofErr w:type="gramEnd"/>
      <w:r w:rsidRPr="000218B9">
        <w:rPr>
          <w:sz w:val="24"/>
          <w:szCs w:val="24"/>
        </w:rPr>
        <w:t xml:space="preserve"> was the nascen</w:t>
      </w:r>
      <w:r w:rsidR="003C060C" w:rsidRPr="000218B9">
        <w:rPr>
          <w:sz w:val="24"/>
          <w:szCs w:val="24"/>
        </w:rPr>
        <w:t xml:space="preserve">t, pseudo-science of eugenics, so named by </w:t>
      </w:r>
      <w:r w:rsidR="00415C1A" w:rsidRPr="000218B9">
        <w:rPr>
          <w:sz w:val="24"/>
          <w:szCs w:val="24"/>
        </w:rPr>
        <w:t>Charles Darwin’s cousin, Francis Galton</w:t>
      </w:r>
      <w:r w:rsidR="00784148" w:rsidRPr="000218B9">
        <w:rPr>
          <w:sz w:val="24"/>
          <w:szCs w:val="24"/>
        </w:rPr>
        <w:t>,</w:t>
      </w:r>
      <w:r w:rsidR="003C060C" w:rsidRPr="000218B9">
        <w:rPr>
          <w:sz w:val="24"/>
          <w:szCs w:val="24"/>
        </w:rPr>
        <w:t xml:space="preserve"> in his book </w:t>
      </w:r>
      <w:r w:rsidR="003C060C" w:rsidRPr="000218B9">
        <w:rPr>
          <w:i/>
          <w:sz w:val="24"/>
          <w:szCs w:val="24"/>
        </w:rPr>
        <w:t>Hereditary Genius</w:t>
      </w:r>
      <w:r w:rsidR="003C060C" w:rsidRPr="000218B9">
        <w:rPr>
          <w:sz w:val="24"/>
          <w:szCs w:val="24"/>
        </w:rPr>
        <w:t xml:space="preserve">, published in 1869.  Galton had </w:t>
      </w:r>
      <w:r w:rsidR="006469BF" w:rsidRPr="000218B9">
        <w:rPr>
          <w:sz w:val="24"/>
          <w:szCs w:val="24"/>
        </w:rPr>
        <w:t>used Darwin’s idea of the ‘struggle for existence’</w:t>
      </w:r>
      <w:r w:rsidR="003C060C" w:rsidRPr="000218B9">
        <w:rPr>
          <w:sz w:val="24"/>
          <w:szCs w:val="24"/>
        </w:rPr>
        <w:t xml:space="preserve"> – discussed in </w:t>
      </w:r>
      <w:r w:rsidR="003C060C" w:rsidRPr="000218B9">
        <w:rPr>
          <w:i/>
          <w:sz w:val="24"/>
          <w:szCs w:val="24"/>
        </w:rPr>
        <w:t>Origin of Species</w:t>
      </w:r>
      <w:r w:rsidR="003C060C" w:rsidRPr="000218B9">
        <w:rPr>
          <w:sz w:val="24"/>
          <w:szCs w:val="24"/>
        </w:rPr>
        <w:t xml:space="preserve"> as the driver of ‘natural selection’</w:t>
      </w:r>
      <w:r w:rsidR="00784148" w:rsidRPr="000218B9">
        <w:rPr>
          <w:sz w:val="24"/>
          <w:szCs w:val="24"/>
        </w:rPr>
        <w:t>-</w:t>
      </w:r>
      <w:r w:rsidR="003C060C" w:rsidRPr="000218B9">
        <w:rPr>
          <w:sz w:val="24"/>
          <w:szCs w:val="24"/>
        </w:rPr>
        <w:t xml:space="preserve"> </w:t>
      </w:r>
      <w:r w:rsidR="006469BF" w:rsidRPr="000218B9">
        <w:rPr>
          <w:sz w:val="24"/>
          <w:szCs w:val="24"/>
        </w:rPr>
        <w:t>to propose</w:t>
      </w:r>
      <w:r w:rsidR="004E51FD" w:rsidRPr="000218B9">
        <w:rPr>
          <w:sz w:val="24"/>
          <w:szCs w:val="24"/>
        </w:rPr>
        <w:t xml:space="preserve"> a</w:t>
      </w:r>
      <w:r w:rsidR="00415C1A" w:rsidRPr="000218B9">
        <w:rPr>
          <w:sz w:val="24"/>
          <w:szCs w:val="24"/>
        </w:rPr>
        <w:t xml:space="preserve"> possible solution to the problem</w:t>
      </w:r>
      <w:r w:rsidR="0092301D" w:rsidRPr="000218B9">
        <w:rPr>
          <w:sz w:val="24"/>
          <w:szCs w:val="24"/>
        </w:rPr>
        <w:t>s</w:t>
      </w:r>
      <w:r w:rsidR="003C060C" w:rsidRPr="000218B9">
        <w:rPr>
          <w:sz w:val="24"/>
          <w:szCs w:val="24"/>
        </w:rPr>
        <w:t xml:space="preserve"> of </w:t>
      </w:r>
      <w:r w:rsidR="00C001DA" w:rsidRPr="000218B9">
        <w:rPr>
          <w:sz w:val="24"/>
          <w:szCs w:val="24"/>
        </w:rPr>
        <w:t xml:space="preserve">urban </w:t>
      </w:r>
      <w:r w:rsidR="00D54F08" w:rsidRPr="000218B9">
        <w:rPr>
          <w:sz w:val="24"/>
          <w:szCs w:val="24"/>
        </w:rPr>
        <w:t>poverty</w:t>
      </w:r>
      <w:r w:rsidR="00415C1A" w:rsidRPr="000218B9">
        <w:rPr>
          <w:sz w:val="24"/>
          <w:szCs w:val="24"/>
        </w:rPr>
        <w:t xml:space="preserve"> in his theory of eugenics</w:t>
      </w:r>
      <w:r w:rsidR="006469BF" w:rsidRPr="000218B9">
        <w:rPr>
          <w:sz w:val="24"/>
          <w:szCs w:val="24"/>
        </w:rPr>
        <w:t xml:space="preserve">.  Here </w:t>
      </w:r>
      <w:r w:rsidR="00D54F08" w:rsidRPr="000218B9">
        <w:rPr>
          <w:sz w:val="24"/>
          <w:szCs w:val="24"/>
        </w:rPr>
        <w:t xml:space="preserve">he suggested that </w:t>
      </w:r>
      <w:r w:rsidR="004E51FD" w:rsidRPr="000218B9">
        <w:rPr>
          <w:sz w:val="24"/>
          <w:szCs w:val="24"/>
        </w:rPr>
        <w:t>Darwin’</w:t>
      </w:r>
      <w:r w:rsidR="008A36FD" w:rsidRPr="000218B9">
        <w:rPr>
          <w:sz w:val="24"/>
          <w:szCs w:val="24"/>
        </w:rPr>
        <w:t xml:space="preserve">s theory of </w:t>
      </w:r>
      <w:r w:rsidR="006469BF" w:rsidRPr="000218B9">
        <w:rPr>
          <w:sz w:val="24"/>
          <w:szCs w:val="24"/>
        </w:rPr>
        <w:t>‘</w:t>
      </w:r>
      <w:r w:rsidR="004E51FD" w:rsidRPr="000218B9">
        <w:rPr>
          <w:sz w:val="24"/>
          <w:szCs w:val="24"/>
        </w:rPr>
        <w:t>natural selection</w:t>
      </w:r>
      <w:r w:rsidR="006469BF" w:rsidRPr="000218B9">
        <w:rPr>
          <w:sz w:val="24"/>
          <w:szCs w:val="24"/>
        </w:rPr>
        <w:t>’</w:t>
      </w:r>
      <w:r w:rsidR="003C6B49" w:rsidRPr="000218B9">
        <w:rPr>
          <w:sz w:val="24"/>
          <w:szCs w:val="24"/>
        </w:rPr>
        <w:t>/</w:t>
      </w:r>
      <w:r w:rsidR="00B940F8" w:rsidRPr="000218B9">
        <w:rPr>
          <w:sz w:val="24"/>
          <w:szCs w:val="24"/>
        </w:rPr>
        <w:t xml:space="preserve"> or ‘</w:t>
      </w:r>
      <w:r w:rsidR="003C6B49" w:rsidRPr="000218B9">
        <w:rPr>
          <w:sz w:val="24"/>
          <w:szCs w:val="24"/>
        </w:rPr>
        <w:t>survival of the fittest</w:t>
      </w:r>
      <w:r w:rsidR="006469BF" w:rsidRPr="000218B9">
        <w:rPr>
          <w:sz w:val="24"/>
          <w:szCs w:val="24"/>
        </w:rPr>
        <w:t>’</w:t>
      </w:r>
      <w:r w:rsidR="003C060C" w:rsidRPr="000218B9">
        <w:rPr>
          <w:sz w:val="24"/>
          <w:szCs w:val="24"/>
        </w:rPr>
        <w:t xml:space="preserve"> [a phrase derived from Herbert Spencer]</w:t>
      </w:r>
      <w:r w:rsidR="004E51FD" w:rsidRPr="000218B9">
        <w:rPr>
          <w:sz w:val="24"/>
          <w:szCs w:val="24"/>
        </w:rPr>
        <w:t xml:space="preserve">, </w:t>
      </w:r>
      <w:r w:rsidR="00D54F08" w:rsidRPr="000218B9">
        <w:rPr>
          <w:sz w:val="24"/>
          <w:szCs w:val="24"/>
        </w:rPr>
        <w:t xml:space="preserve">implied that </w:t>
      </w:r>
      <w:r w:rsidR="003C6B49" w:rsidRPr="000218B9">
        <w:rPr>
          <w:sz w:val="24"/>
          <w:szCs w:val="24"/>
        </w:rPr>
        <w:t>there was no place in society for the physically or socially ‘unfit’.</w:t>
      </w:r>
      <w:r w:rsidR="00812BDB" w:rsidRPr="000218B9">
        <w:rPr>
          <w:sz w:val="24"/>
          <w:szCs w:val="24"/>
        </w:rPr>
        <w:t xml:space="preserve">  This trajectory of thought was derived – as was Darwin’s notion of the ‘struggle</w:t>
      </w:r>
      <w:r w:rsidR="003C060C" w:rsidRPr="000218B9">
        <w:rPr>
          <w:sz w:val="24"/>
          <w:szCs w:val="24"/>
        </w:rPr>
        <w:t xml:space="preserve"> for existence’</w:t>
      </w:r>
      <w:r w:rsidR="00615C31" w:rsidRPr="000218B9">
        <w:rPr>
          <w:sz w:val="24"/>
          <w:szCs w:val="24"/>
        </w:rPr>
        <w:t xml:space="preserve"> -</w:t>
      </w:r>
      <w:r w:rsidR="00812BDB" w:rsidRPr="000218B9">
        <w:rPr>
          <w:sz w:val="24"/>
          <w:szCs w:val="24"/>
        </w:rPr>
        <w:t xml:space="preserve"> from the ideas of Thomas Malthus, </w:t>
      </w:r>
      <w:r w:rsidR="0092301D" w:rsidRPr="000218B9">
        <w:rPr>
          <w:sz w:val="24"/>
          <w:szCs w:val="24"/>
        </w:rPr>
        <w:t>which</w:t>
      </w:r>
      <w:r w:rsidR="005E3454" w:rsidRPr="000218B9">
        <w:rPr>
          <w:sz w:val="24"/>
          <w:szCs w:val="24"/>
        </w:rPr>
        <w:t xml:space="preserve"> suggested that </w:t>
      </w:r>
      <w:r w:rsidR="00812BDB" w:rsidRPr="000218B9">
        <w:rPr>
          <w:sz w:val="24"/>
          <w:szCs w:val="24"/>
        </w:rPr>
        <w:t>that</w:t>
      </w:r>
      <w:r w:rsidR="00D54F08" w:rsidRPr="000218B9">
        <w:rPr>
          <w:sz w:val="24"/>
          <w:szCs w:val="24"/>
        </w:rPr>
        <w:t xml:space="preserve"> unproductive </w:t>
      </w:r>
      <w:r w:rsidR="00C001DA" w:rsidRPr="000218B9">
        <w:rPr>
          <w:sz w:val="24"/>
          <w:szCs w:val="24"/>
        </w:rPr>
        <w:t>members of the lower classes</w:t>
      </w:r>
      <w:r w:rsidR="006469BF" w:rsidRPr="000218B9">
        <w:rPr>
          <w:sz w:val="24"/>
          <w:szCs w:val="24"/>
        </w:rPr>
        <w:t xml:space="preserve"> should, effectively</w:t>
      </w:r>
      <w:r w:rsidR="00C001DA" w:rsidRPr="000218B9">
        <w:rPr>
          <w:sz w:val="24"/>
          <w:szCs w:val="24"/>
        </w:rPr>
        <w:t>,</w:t>
      </w:r>
      <w:r w:rsidR="00615C31" w:rsidRPr="000218B9">
        <w:rPr>
          <w:sz w:val="24"/>
          <w:szCs w:val="24"/>
        </w:rPr>
        <w:t xml:space="preserve"> be l</w:t>
      </w:r>
      <w:r w:rsidR="00F03B0A" w:rsidRPr="000218B9">
        <w:rPr>
          <w:sz w:val="24"/>
          <w:szCs w:val="24"/>
        </w:rPr>
        <w:t xml:space="preserve">eft to </w:t>
      </w:r>
      <w:r w:rsidR="006469BF" w:rsidRPr="000218B9">
        <w:rPr>
          <w:sz w:val="24"/>
          <w:szCs w:val="24"/>
        </w:rPr>
        <w:t xml:space="preserve">starve and </w:t>
      </w:r>
      <w:r w:rsidR="00F03B0A" w:rsidRPr="000218B9">
        <w:rPr>
          <w:sz w:val="24"/>
          <w:szCs w:val="24"/>
        </w:rPr>
        <w:t>expire, so that they were not a burden on the economy</w:t>
      </w:r>
      <w:r w:rsidR="007412A7" w:rsidRPr="000218B9">
        <w:rPr>
          <w:sz w:val="24"/>
          <w:szCs w:val="24"/>
        </w:rPr>
        <w:t>.</w:t>
      </w:r>
      <w:r w:rsidR="006B4DBB" w:rsidRPr="000218B9">
        <w:rPr>
          <w:sz w:val="24"/>
          <w:szCs w:val="24"/>
        </w:rPr>
        <w:t xml:space="preserve">  By the 1880s, eugenics had emerged</w:t>
      </w:r>
      <w:r w:rsidR="00015297" w:rsidRPr="000218B9">
        <w:rPr>
          <w:sz w:val="24"/>
          <w:szCs w:val="24"/>
        </w:rPr>
        <w:t xml:space="preserve"> interna</w:t>
      </w:r>
      <w:r w:rsidR="00F5246A" w:rsidRPr="000218B9">
        <w:rPr>
          <w:sz w:val="24"/>
          <w:szCs w:val="24"/>
        </w:rPr>
        <w:t>tionally</w:t>
      </w:r>
      <w:r w:rsidR="006B4DBB" w:rsidRPr="000218B9">
        <w:rPr>
          <w:sz w:val="24"/>
          <w:szCs w:val="24"/>
        </w:rPr>
        <w:t xml:space="preserve"> as an identifiable </w:t>
      </w:r>
      <w:r w:rsidR="008C219F" w:rsidRPr="000218B9">
        <w:rPr>
          <w:sz w:val="24"/>
          <w:szCs w:val="24"/>
        </w:rPr>
        <w:t xml:space="preserve">but multifaceted </w:t>
      </w:r>
      <w:r w:rsidR="006B4DBB" w:rsidRPr="000218B9">
        <w:rPr>
          <w:sz w:val="24"/>
          <w:szCs w:val="24"/>
        </w:rPr>
        <w:t>discourse</w:t>
      </w:r>
      <w:r w:rsidR="00F15FD5" w:rsidRPr="000218B9">
        <w:rPr>
          <w:sz w:val="24"/>
          <w:szCs w:val="24"/>
        </w:rPr>
        <w:t xml:space="preserve"> involving not only</w:t>
      </w:r>
      <w:r w:rsidR="00897549" w:rsidRPr="000218B9">
        <w:rPr>
          <w:sz w:val="24"/>
          <w:szCs w:val="24"/>
        </w:rPr>
        <w:t xml:space="preserve"> racists and </w:t>
      </w:r>
      <w:r w:rsidR="00F15FD5" w:rsidRPr="000218B9">
        <w:rPr>
          <w:sz w:val="24"/>
          <w:szCs w:val="24"/>
        </w:rPr>
        <w:t>critics of</w:t>
      </w:r>
      <w:r w:rsidR="00897549" w:rsidRPr="000218B9">
        <w:rPr>
          <w:sz w:val="24"/>
          <w:szCs w:val="24"/>
        </w:rPr>
        <w:t xml:space="preserve"> the working classes</w:t>
      </w:r>
      <w:r w:rsidR="00F15FD5" w:rsidRPr="000218B9">
        <w:rPr>
          <w:sz w:val="24"/>
          <w:szCs w:val="24"/>
        </w:rPr>
        <w:t>, but also medical pract</w:t>
      </w:r>
      <w:r w:rsidR="000C3F89" w:rsidRPr="000218B9">
        <w:rPr>
          <w:sz w:val="24"/>
          <w:szCs w:val="24"/>
        </w:rPr>
        <w:t>itioners,</w:t>
      </w:r>
      <w:r w:rsidR="00F15FD5" w:rsidRPr="000218B9">
        <w:rPr>
          <w:sz w:val="24"/>
          <w:szCs w:val="24"/>
        </w:rPr>
        <w:t xml:space="preserve"> social theorists</w:t>
      </w:r>
      <w:r w:rsidR="000C3F89" w:rsidRPr="000218B9">
        <w:rPr>
          <w:sz w:val="24"/>
          <w:szCs w:val="24"/>
        </w:rPr>
        <w:t xml:space="preserve"> and writers such as George Bernard Shaw</w:t>
      </w:r>
      <w:r w:rsidR="00F15FD5" w:rsidRPr="000218B9">
        <w:rPr>
          <w:sz w:val="24"/>
          <w:szCs w:val="24"/>
        </w:rPr>
        <w:t>.</w:t>
      </w:r>
      <w:r w:rsidR="00F5246A" w:rsidRPr="000218B9">
        <w:rPr>
          <w:rStyle w:val="FootnoteReference"/>
          <w:sz w:val="24"/>
          <w:szCs w:val="24"/>
        </w:rPr>
        <w:footnoteReference w:id="9"/>
      </w:r>
    </w:p>
    <w:p w:rsidR="00F13074" w:rsidRPr="000218B9" w:rsidRDefault="005D37D8" w:rsidP="00834E70">
      <w:pPr>
        <w:spacing w:line="360" w:lineRule="auto"/>
        <w:rPr>
          <w:sz w:val="24"/>
          <w:szCs w:val="24"/>
        </w:rPr>
      </w:pPr>
      <w:r w:rsidRPr="000218B9">
        <w:rPr>
          <w:b/>
          <w:sz w:val="24"/>
          <w:szCs w:val="24"/>
          <w:highlight w:val="yellow"/>
        </w:rPr>
        <w:t>[SLIDE 7]</w:t>
      </w:r>
      <w:r w:rsidRPr="000218B9">
        <w:rPr>
          <w:sz w:val="24"/>
          <w:szCs w:val="24"/>
        </w:rPr>
        <w:t xml:space="preserve"> </w:t>
      </w:r>
      <w:r w:rsidR="00277294" w:rsidRPr="000218B9">
        <w:rPr>
          <w:sz w:val="24"/>
          <w:szCs w:val="24"/>
        </w:rPr>
        <w:t xml:space="preserve">  </w:t>
      </w:r>
      <w:r w:rsidR="00015297" w:rsidRPr="000218B9">
        <w:rPr>
          <w:sz w:val="24"/>
          <w:szCs w:val="24"/>
        </w:rPr>
        <w:t>Kropotkin’s take on eugenics was that, in order to develop as a scientific discourse it should concentrate on studying the underlying causes of ‘unfitness’ in the population, the psychological, physical and health issues that could</w:t>
      </w:r>
      <w:r w:rsidR="00C001DA" w:rsidRPr="000218B9">
        <w:rPr>
          <w:sz w:val="24"/>
          <w:szCs w:val="24"/>
        </w:rPr>
        <w:t xml:space="preserve"> potentially </w:t>
      </w:r>
      <w:r w:rsidR="00015297" w:rsidRPr="000218B9">
        <w:rPr>
          <w:sz w:val="24"/>
          <w:szCs w:val="24"/>
        </w:rPr>
        <w:t xml:space="preserve">be cured by better education, </w:t>
      </w:r>
      <w:r w:rsidR="00897549" w:rsidRPr="000218B9">
        <w:rPr>
          <w:sz w:val="24"/>
          <w:szCs w:val="24"/>
        </w:rPr>
        <w:t xml:space="preserve">better </w:t>
      </w:r>
      <w:r w:rsidR="00015297" w:rsidRPr="000218B9">
        <w:rPr>
          <w:sz w:val="24"/>
          <w:szCs w:val="24"/>
        </w:rPr>
        <w:t>diet, healthier living conditions</w:t>
      </w:r>
      <w:r w:rsidR="00F420C8" w:rsidRPr="000218B9">
        <w:rPr>
          <w:sz w:val="24"/>
          <w:szCs w:val="24"/>
        </w:rPr>
        <w:t>,</w:t>
      </w:r>
      <w:r w:rsidR="00015297" w:rsidRPr="000218B9">
        <w:rPr>
          <w:sz w:val="24"/>
          <w:szCs w:val="24"/>
        </w:rPr>
        <w:t xml:space="preserve"> and the eradication of poverty.</w:t>
      </w:r>
      <w:r w:rsidR="00015297" w:rsidRPr="000218B9">
        <w:rPr>
          <w:rStyle w:val="FootnoteReference"/>
          <w:sz w:val="24"/>
          <w:szCs w:val="24"/>
        </w:rPr>
        <w:footnoteReference w:id="10"/>
      </w:r>
      <w:r w:rsidR="00812BDB" w:rsidRPr="000218B9">
        <w:rPr>
          <w:sz w:val="24"/>
          <w:szCs w:val="24"/>
        </w:rPr>
        <w:t xml:space="preserve"> </w:t>
      </w:r>
      <w:r w:rsidR="00897549" w:rsidRPr="000218B9">
        <w:rPr>
          <w:sz w:val="24"/>
          <w:szCs w:val="24"/>
        </w:rPr>
        <w:t xml:space="preserve"> </w:t>
      </w:r>
      <w:r w:rsidR="008A5BC7" w:rsidRPr="000218B9">
        <w:rPr>
          <w:sz w:val="24"/>
          <w:szCs w:val="24"/>
        </w:rPr>
        <w:t xml:space="preserve">Like many </w:t>
      </w:r>
      <w:r w:rsidR="00264B40" w:rsidRPr="000218B9">
        <w:rPr>
          <w:sz w:val="24"/>
          <w:szCs w:val="24"/>
        </w:rPr>
        <w:t xml:space="preserve">contemporary </w:t>
      </w:r>
      <w:r w:rsidR="008A5BC7" w:rsidRPr="000218B9">
        <w:rPr>
          <w:sz w:val="24"/>
          <w:szCs w:val="24"/>
        </w:rPr>
        <w:t>Russian Darwinists,</w:t>
      </w:r>
      <w:r w:rsidR="00264B40" w:rsidRPr="000218B9">
        <w:rPr>
          <w:sz w:val="24"/>
          <w:szCs w:val="24"/>
        </w:rPr>
        <w:t xml:space="preserve"> particularly those of a socialist persuasion,</w:t>
      </w:r>
      <w:r w:rsidR="008A5BC7" w:rsidRPr="000218B9">
        <w:rPr>
          <w:sz w:val="24"/>
          <w:szCs w:val="24"/>
        </w:rPr>
        <w:t xml:space="preserve"> he </w:t>
      </w:r>
      <w:r w:rsidR="008A5BC7" w:rsidRPr="000218B9">
        <w:rPr>
          <w:sz w:val="24"/>
          <w:szCs w:val="24"/>
        </w:rPr>
        <w:lastRenderedPageBreak/>
        <w:t>inclined to the Lamarckian idea of the inheritability of acquired characteristics, and believed that a change of social organisation and environment would lead to genetic change [and improvement] in humankind.</w:t>
      </w:r>
      <w:r w:rsidR="007A179C" w:rsidRPr="000218B9">
        <w:rPr>
          <w:rStyle w:val="FootnoteReference"/>
          <w:sz w:val="24"/>
          <w:szCs w:val="24"/>
        </w:rPr>
        <w:footnoteReference w:id="11"/>
      </w:r>
      <w:r w:rsidR="008A5BC7" w:rsidRPr="000218B9">
        <w:rPr>
          <w:sz w:val="24"/>
          <w:szCs w:val="24"/>
        </w:rPr>
        <w:t xml:space="preserve"> </w:t>
      </w:r>
      <w:r w:rsidR="00264B40" w:rsidRPr="000218B9">
        <w:rPr>
          <w:sz w:val="24"/>
          <w:szCs w:val="24"/>
        </w:rPr>
        <w:t xml:space="preserve"> </w:t>
      </w:r>
      <w:r w:rsidR="008A5BC7" w:rsidRPr="000218B9">
        <w:rPr>
          <w:sz w:val="24"/>
          <w:szCs w:val="24"/>
        </w:rPr>
        <w:t>Kropotkin envisaged this new so</w:t>
      </w:r>
      <w:r w:rsidR="00412194" w:rsidRPr="000218B9">
        <w:rPr>
          <w:sz w:val="24"/>
          <w:szCs w:val="24"/>
        </w:rPr>
        <w:t>ciety as based on rural co</w:t>
      </w:r>
      <w:r w:rsidR="00897549" w:rsidRPr="000218B9">
        <w:rPr>
          <w:sz w:val="24"/>
          <w:szCs w:val="24"/>
        </w:rPr>
        <w:t>-</w:t>
      </w:r>
      <w:r w:rsidR="00412194" w:rsidRPr="000218B9">
        <w:rPr>
          <w:sz w:val="24"/>
          <w:szCs w:val="24"/>
        </w:rPr>
        <w:t>operatives with elements of industry</w:t>
      </w:r>
      <w:r w:rsidR="003E4CF1" w:rsidRPr="000218B9">
        <w:rPr>
          <w:sz w:val="24"/>
          <w:szCs w:val="24"/>
        </w:rPr>
        <w:t xml:space="preserve"> - </w:t>
      </w:r>
      <w:r w:rsidR="00502C7C" w:rsidRPr="000218B9">
        <w:rPr>
          <w:sz w:val="24"/>
          <w:szCs w:val="24"/>
        </w:rPr>
        <w:t>‘industrial villages’</w:t>
      </w:r>
      <w:r w:rsidR="003E4CF1" w:rsidRPr="000218B9">
        <w:rPr>
          <w:sz w:val="24"/>
          <w:szCs w:val="24"/>
        </w:rPr>
        <w:t xml:space="preserve">- </w:t>
      </w:r>
      <w:r w:rsidR="00F420C8" w:rsidRPr="000218B9">
        <w:rPr>
          <w:rStyle w:val="FootnoteReference"/>
          <w:sz w:val="24"/>
          <w:szCs w:val="24"/>
        </w:rPr>
        <w:footnoteReference w:id="12"/>
      </w:r>
      <w:r w:rsidR="00412194" w:rsidRPr="000218B9">
        <w:rPr>
          <w:sz w:val="24"/>
          <w:szCs w:val="24"/>
        </w:rPr>
        <w:t xml:space="preserve"> that</w:t>
      </w:r>
      <w:r w:rsidR="00897549" w:rsidRPr="000218B9">
        <w:rPr>
          <w:sz w:val="24"/>
          <w:szCs w:val="24"/>
        </w:rPr>
        <w:t xml:space="preserve"> used intensive farming and horticultural methods along with</w:t>
      </w:r>
      <w:r w:rsidR="008A5BC7" w:rsidRPr="000218B9">
        <w:rPr>
          <w:sz w:val="24"/>
          <w:szCs w:val="24"/>
        </w:rPr>
        <w:t xml:space="preserve"> the latest technologies</w:t>
      </w:r>
      <w:r w:rsidR="00897549" w:rsidRPr="000218B9">
        <w:rPr>
          <w:sz w:val="24"/>
          <w:szCs w:val="24"/>
        </w:rPr>
        <w:t>,</w:t>
      </w:r>
      <w:r w:rsidR="00412194" w:rsidRPr="000218B9">
        <w:rPr>
          <w:sz w:val="24"/>
          <w:szCs w:val="24"/>
        </w:rPr>
        <w:t xml:space="preserve"> to create self-sufficient communities</w:t>
      </w:r>
      <w:r w:rsidR="00F13074" w:rsidRPr="000218B9">
        <w:rPr>
          <w:sz w:val="24"/>
          <w:szCs w:val="24"/>
        </w:rPr>
        <w:t xml:space="preserve"> with comm</w:t>
      </w:r>
      <w:r w:rsidR="00EA257B" w:rsidRPr="000218B9">
        <w:rPr>
          <w:sz w:val="24"/>
          <w:szCs w:val="24"/>
        </w:rPr>
        <w:t>unally owned land and other property</w:t>
      </w:r>
      <w:r w:rsidR="00F13074" w:rsidRPr="000218B9">
        <w:rPr>
          <w:sz w:val="24"/>
          <w:szCs w:val="24"/>
        </w:rPr>
        <w:t>.  The working day</w:t>
      </w:r>
      <w:r w:rsidR="00935557" w:rsidRPr="000218B9">
        <w:rPr>
          <w:sz w:val="24"/>
          <w:szCs w:val="24"/>
        </w:rPr>
        <w:t>, he theorised,</w:t>
      </w:r>
      <w:r w:rsidR="00F13074" w:rsidRPr="000218B9">
        <w:rPr>
          <w:sz w:val="24"/>
          <w:szCs w:val="24"/>
        </w:rPr>
        <w:t xml:space="preserve"> would be short</w:t>
      </w:r>
      <w:r w:rsidR="00935557" w:rsidRPr="000218B9">
        <w:rPr>
          <w:sz w:val="24"/>
          <w:szCs w:val="24"/>
        </w:rPr>
        <w:t xml:space="preserve"> – a mere five hours - </w:t>
      </w:r>
      <w:r w:rsidR="00F13074" w:rsidRPr="000218B9">
        <w:rPr>
          <w:sz w:val="24"/>
          <w:szCs w:val="24"/>
        </w:rPr>
        <w:t>and involve a blend of healthy</w:t>
      </w:r>
      <w:r w:rsidR="00C67A1D" w:rsidRPr="000218B9">
        <w:rPr>
          <w:sz w:val="24"/>
          <w:szCs w:val="24"/>
        </w:rPr>
        <w:t xml:space="preserve"> outdoor</w:t>
      </w:r>
      <w:r w:rsidR="00F13074" w:rsidRPr="000218B9">
        <w:rPr>
          <w:sz w:val="24"/>
          <w:szCs w:val="24"/>
        </w:rPr>
        <w:t xml:space="preserve"> physical labour</w:t>
      </w:r>
      <w:r w:rsidR="00C67A1D" w:rsidRPr="000218B9">
        <w:rPr>
          <w:sz w:val="24"/>
          <w:szCs w:val="24"/>
        </w:rPr>
        <w:t>, industrial</w:t>
      </w:r>
      <w:r w:rsidR="00F13074" w:rsidRPr="000218B9">
        <w:rPr>
          <w:sz w:val="24"/>
          <w:szCs w:val="24"/>
        </w:rPr>
        <w:t xml:space="preserve"> and ‘brain work’.</w:t>
      </w:r>
      <w:r w:rsidR="00F420C8" w:rsidRPr="000218B9">
        <w:rPr>
          <w:rStyle w:val="FootnoteReference"/>
          <w:sz w:val="24"/>
          <w:szCs w:val="24"/>
        </w:rPr>
        <w:footnoteReference w:id="13"/>
      </w:r>
      <w:r w:rsidR="00F13074" w:rsidRPr="000218B9">
        <w:rPr>
          <w:sz w:val="24"/>
          <w:szCs w:val="24"/>
        </w:rPr>
        <w:t xml:space="preserve">  </w:t>
      </w:r>
    </w:p>
    <w:p w:rsidR="00935557" w:rsidRPr="000218B9" w:rsidRDefault="00F13074" w:rsidP="00834E70">
      <w:pPr>
        <w:spacing w:line="360" w:lineRule="auto"/>
        <w:rPr>
          <w:sz w:val="24"/>
          <w:szCs w:val="24"/>
        </w:rPr>
      </w:pPr>
      <w:r w:rsidRPr="000218B9">
        <w:rPr>
          <w:sz w:val="24"/>
          <w:szCs w:val="24"/>
        </w:rPr>
        <w:t>Kropotkin ha</w:t>
      </w:r>
      <w:r w:rsidR="002F1941" w:rsidRPr="000218B9">
        <w:rPr>
          <w:sz w:val="24"/>
          <w:szCs w:val="24"/>
        </w:rPr>
        <w:t>d developed this idea through ex</w:t>
      </w:r>
      <w:r w:rsidRPr="000218B9">
        <w:rPr>
          <w:sz w:val="24"/>
          <w:szCs w:val="24"/>
        </w:rPr>
        <w:t xml:space="preserve">tensive sociological studies of a number of communities practicing intensive food production in various countries, including France and Jersey.  </w:t>
      </w:r>
      <w:r w:rsidR="00905913" w:rsidRPr="000218B9">
        <w:rPr>
          <w:b/>
          <w:sz w:val="24"/>
          <w:szCs w:val="24"/>
          <w:highlight w:val="yellow"/>
        </w:rPr>
        <w:t>[SLIDE 8]</w:t>
      </w:r>
      <w:r w:rsidR="00905913" w:rsidRPr="000218B9">
        <w:rPr>
          <w:sz w:val="24"/>
          <w:szCs w:val="24"/>
        </w:rPr>
        <w:t xml:space="preserve">  </w:t>
      </w:r>
      <w:r w:rsidRPr="000218B9">
        <w:rPr>
          <w:sz w:val="24"/>
          <w:szCs w:val="24"/>
        </w:rPr>
        <w:t>These studies were first published</w:t>
      </w:r>
      <w:r w:rsidR="005D37D8" w:rsidRPr="000218B9">
        <w:rPr>
          <w:sz w:val="24"/>
          <w:szCs w:val="24"/>
        </w:rPr>
        <w:t xml:space="preserve"> as three long</w:t>
      </w:r>
      <w:r w:rsidR="0062781C" w:rsidRPr="000218B9">
        <w:rPr>
          <w:sz w:val="24"/>
          <w:szCs w:val="24"/>
        </w:rPr>
        <w:t xml:space="preserve"> articles</w:t>
      </w:r>
      <w:r w:rsidRPr="000218B9">
        <w:rPr>
          <w:sz w:val="24"/>
          <w:szCs w:val="24"/>
        </w:rPr>
        <w:t xml:space="preserve"> in the respectable British journal</w:t>
      </w:r>
      <w:r w:rsidR="008E5548" w:rsidRPr="000218B9">
        <w:rPr>
          <w:sz w:val="24"/>
          <w:szCs w:val="24"/>
        </w:rPr>
        <w:t xml:space="preserve">, </w:t>
      </w:r>
      <w:r w:rsidR="008E5548" w:rsidRPr="000218B9">
        <w:rPr>
          <w:i/>
          <w:sz w:val="24"/>
          <w:szCs w:val="24"/>
        </w:rPr>
        <w:t>The Nineteenth Century</w:t>
      </w:r>
      <w:r w:rsidR="008E5548" w:rsidRPr="000218B9">
        <w:rPr>
          <w:sz w:val="24"/>
          <w:szCs w:val="24"/>
        </w:rPr>
        <w:t xml:space="preserve"> in 188</w:t>
      </w:r>
      <w:r w:rsidR="00EA257B" w:rsidRPr="000218B9">
        <w:rPr>
          <w:sz w:val="24"/>
          <w:szCs w:val="24"/>
        </w:rPr>
        <w:t>8</w:t>
      </w:r>
      <w:r w:rsidR="005D37D8" w:rsidRPr="000218B9">
        <w:rPr>
          <w:sz w:val="24"/>
          <w:szCs w:val="24"/>
        </w:rPr>
        <w:t>,</w:t>
      </w:r>
      <w:r w:rsidR="0062781C" w:rsidRPr="000218B9">
        <w:rPr>
          <w:rStyle w:val="FootnoteReference"/>
          <w:sz w:val="24"/>
          <w:szCs w:val="24"/>
        </w:rPr>
        <w:footnoteReference w:id="14"/>
      </w:r>
      <w:r w:rsidR="00EA257B" w:rsidRPr="000218B9">
        <w:rPr>
          <w:sz w:val="24"/>
          <w:szCs w:val="24"/>
        </w:rPr>
        <w:t xml:space="preserve"> and had a stron</w:t>
      </w:r>
      <w:r w:rsidR="002F1941" w:rsidRPr="000218B9">
        <w:rPr>
          <w:sz w:val="24"/>
          <w:szCs w:val="24"/>
        </w:rPr>
        <w:t xml:space="preserve">g influence on the Utopian vision of a different </w:t>
      </w:r>
      <w:r w:rsidR="008C6952" w:rsidRPr="000218B9">
        <w:rPr>
          <w:sz w:val="24"/>
          <w:szCs w:val="24"/>
        </w:rPr>
        <w:t xml:space="preserve">mode of </w:t>
      </w:r>
      <w:r w:rsidR="002F1941" w:rsidRPr="000218B9">
        <w:rPr>
          <w:sz w:val="24"/>
          <w:szCs w:val="24"/>
        </w:rPr>
        <w:t>life presented in the story</w:t>
      </w:r>
      <w:r w:rsidR="00EA257B" w:rsidRPr="000218B9">
        <w:rPr>
          <w:sz w:val="24"/>
          <w:szCs w:val="24"/>
        </w:rPr>
        <w:t xml:space="preserve">, </w:t>
      </w:r>
      <w:r w:rsidR="00EA257B" w:rsidRPr="000218B9">
        <w:rPr>
          <w:i/>
          <w:sz w:val="24"/>
          <w:szCs w:val="24"/>
        </w:rPr>
        <w:t>News from Nowhere</w:t>
      </w:r>
      <w:r w:rsidR="00EA257B" w:rsidRPr="000218B9">
        <w:rPr>
          <w:sz w:val="24"/>
          <w:szCs w:val="24"/>
        </w:rPr>
        <w:t>, published</w:t>
      </w:r>
      <w:r w:rsidR="00D67E50" w:rsidRPr="000218B9">
        <w:rPr>
          <w:sz w:val="24"/>
          <w:szCs w:val="24"/>
        </w:rPr>
        <w:t xml:space="preserve"> in 1890</w:t>
      </w:r>
      <w:r w:rsidR="00EA257B" w:rsidRPr="000218B9">
        <w:rPr>
          <w:sz w:val="24"/>
          <w:szCs w:val="24"/>
        </w:rPr>
        <w:t xml:space="preserve"> by his friend, the socialist and member of the Arts and Crafts movement, William Morris.</w:t>
      </w:r>
      <w:r w:rsidR="006B39FC" w:rsidRPr="000218B9">
        <w:rPr>
          <w:rStyle w:val="FootnoteReference"/>
          <w:sz w:val="24"/>
          <w:szCs w:val="24"/>
        </w:rPr>
        <w:footnoteReference w:id="15"/>
      </w:r>
      <w:r w:rsidR="00EA257B" w:rsidRPr="000218B9">
        <w:rPr>
          <w:sz w:val="24"/>
          <w:szCs w:val="24"/>
        </w:rPr>
        <w:t xml:space="preserve">  </w:t>
      </w:r>
      <w:r w:rsidR="00935557" w:rsidRPr="000218B9">
        <w:rPr>
          <w:sz w:val="24"/>
          <w:szCs w:val="24"/>
        </w:rPr>
        <w:t xml:space="preserve">The ideas in </w:t>
      </w:r>
      <w:r w:rsidR="00EA257B" w:rsidRPr="000218B9">
        <w:rPr>
          <w:sz w:val="24"/>
          <w:szCs w:val="24"/>
        </w:rPr>
        <w:t>Kropotkin’</w:t>
      </w:r>
      <w:r w:rsidR="00935557" w:rsidRPr="000218B9">
        <w:rPr>
          <w:sz w:val="24"/>
          <w:szCs w:val="24"/>
        </w:rPr>
        <w:t>s articles</w:t>
      </w:r>
      <w:r w:rsidR="00EA257B" w:rsidRPr="000218B9">
        <w:rPr>
          <w:sz w:val="24"/>
          <w:szCs w:val="24"/>
        </w:rPr>
        <w:t xml:space="preserve"> and their reflection in Morris’s book</w:t>
      </w:r>
      <w:r w:rsidR="00935557" w:rsidRPr="000218B9">
        <w:rPr>
          <w:sz w:val="24"/>
          <w:szCs w:val="24"/>
        </w:rPr>
        <w:t>, also</w:t>
      </w:r>
      <w:r w:rsidR="00EA257B" w:rsidRPr="000218B9">
        <w:rPr>
          <w:sz w:val="24"/>
          <w:szCs w:val="24"/>
        </w:rPr>
        <w:t xml:space="preserve"> clearly impacted on upon Ebenezer Howard’s idea of the Garden City</w:t>
      </w:r>
      <w:r w:rsidR="00626161" w:rsidRPr="000218B9">
        <w:rPr>
          <w:sz w:val="24"/>
          <w:szCs w:val="24"/>
        </w:rPr>
        <w:t>,</w:t>
      </w:r>
      <w:r w:rsidR="00D67E50" w:rsidRPr="000218B9">
        <w:rPr>
          <w:sz w:val="24"/>
          <w:szCs w:val="24"/>
        </w:rPr>
        <w:t xml:space="preserve"> as</w:t>
      </w:r>
      <w:r w:rsidR="00D72E81" w:rsidRPr="000218B9">
        <w:rPr>
          <w:sz w:val="24"/>
          <w:szCs w:val="24"/>
        </w:rPr>
        <w:t xml:space="preserve"> was acknowledged</w:t>
      </w:r>
      <w:r w:rsidR="00935557" w:rsidRPr="000218B9">
        <w:rPr>
          <w:sz w:val="24"/>
          <w:szCs w:val="24"/>
        </w:rPr>
        <w:t xml:space="preserve"> in his</w:t>
      </w:r>
      <w:r w:rsidR="00D72E81" w:rsidRPr="000218B9">
        <w:rPr>
          <w:sz w:val="24"/>
          <w:szCs w:val="24"/>
        </w:rPr>
        <w:t xml:space="preserve"> book</w:t>
      </w:r>
      <w:r w:rsidR="00D55C51" w:rsidRPr="000218B9">
        <w:rPr>
          <w:sz w:val="24"/>
          <w:szCs w:val="24"/>
        </w:rPr>
        <w:t xml:space="preserve"> </w:t>
      </w:r>
      <w:r w:rsidR="00D55C51" w:rsidRPr="000218B9">
        <w:rPr>
          <w:i/>
          <w:sz w:val="24"/>
          <w:szCs w:val="24"/>
        </w:rPr>
        <w:t>Garden Cities of Tomorrow</w:t>
      </w:r>
      <w:r w:rsidR="00D55C51" w:rsidRPr="000218B9">
        <w:rPr>
          <w:sz w:val="24"/>
          <w:szCs w:val="24"/>
        </w:rPr>
        <w:t>.</w:t>
      </w:r>
      <w:r w:rsidR="00F420C8" w:rsidRPr="000218B9">
        <w:rPr>
          <w:rStyle w:val="FootnoteReference"/>
          <w:sz w:val="24"/>
          <w:szCs w:val="24"/>
        </w:rPr>
        <w:footnoteReference w:id="16"/>
      </w:r>
      <w:r w:rsidR="00935557" w:rsidRPr="000218B9">
        <w:rPr>
          <w:sz w:val="24"/>
          <w:szCs w:val="24"/>
        </w:rPr>
        <w:t xml:space="preserve"> </w:t>
      </w:r>
    </w:p>
    <w:p w:rsidR="000010EE" w:rsidRPr="000218B9" w:rsidRDefault="00935557" w:rsidP="00834E70">
      <w:pPr>
        <w:spacing w:line="360" w:lineRule="auto"/>
        <w:rPr>
          <w:sz w:val="24"/>
          <w:szCs w:val="24"/>
        </w:rPr>
      </w:pPr>
      <w:r w:rsidRPr="000218B9">
        <w:rPr>
          <w:sz w:val="24"/>
          <w:szCs w:val="24"/>
        </w:rPr>
        <w:t xml:space="preserve">Both Morris and Kropotkin </w:t>
      </w:r>
      <w:r w:rsidR="004D2045" w:rsidRPr="000218B9">
        <w:rPr>
          <w:sz w:val="24"/>
          <w:szCs w:val="24"/>
        </w:rPr>
        <w:t xml:space="preserve">contemporarily </w:t>
      </w:r>
      <w:r w:rsidRPr="000218B9">
        <w:rPr>
          <w:sz w:val="24"/>
          <w:szCs w:val="24"/>
        </w:rPr>
        <w:t>were known to be socialists, and Howard</w:t>
      </w:r>
      <w:r w:rsidR="002F1941" w:rsidRPr="000218B9">
        <w:rPr>
          <w:sz w:val="24"/>
          <w:szCs w:val="24"/>
        </w:rPr>
        <w:t>’s book</w:t>
      </w:r>
      <w:r w:rsidRPr="000218B9">
        <w:rPr>
          <w:sz w:val="24"/>
          <w:szCs w:val="24"/>
        </w:rPr>
        <w:t xml:space="preserve"> was careful to distance his construct of the Garden City from ‘socialist experiments’</w:t>
      </w:r>
      <w:r w:rsidR="00897549" w:rsidRPr="000218B9">
        <w:rPr>
          <w:sz w:val="24"/>
          <w:szCs w:val="24"/>
        </w:rPr>
        <w:t xml:space="preserve"> –  clearly he did not want to frighten off potential [capitalist] investors from his project</w:t>
      </w:r>
      <w:r w:rsidR="002F1941" w:rsidRPr="000218B9">
        <w:rPr>
          <w:sz w:val="24"/>
          <w:szCs w:val="24"/>
        </w:rPr>
        <w:t>.</w:t>
      </w:r>
      <w:r w:rsidR="0053243D" w:rsidRPr="000218B9">
        <w:rPr>
          <w:sz w:val="24"/>
          <w:szCs w:val="24"/>
        </w:rPr>
        <w:t xml:space="preserve"> </w:t>
      </w:r>
      <w:r w:rsidR="007A00E2" w:rsidRPr="000218B9">
        <w:rPr>
          <w:rStyle w:val="FootnoteReference"/>
          <w:sz w:val="24"/>
          <w:szCs w:val="24"/>
        </w:rPr>
        <w:footnoteReference w:id="17"/>
      </w:r>
      <w:r w:rsidR="0053243D" w:rsidRPr="000218B9">
        <w:rPr>
          <w:sz w:val="24"/>
          <w:szCs w:val="24"/>
        </w:rPr>
        <w:t xml:space="preserve"> </w:t>
      </w:r>
      <w:r w:rsidR="0053243D" w:rsidRPr="000218B9">
        <w:rPr>
          <w:sz w:val="24"/>
          <w:szCs w:val="24"/>
        </w:rPr>
        <w:lastRenderedPageBreak/>
        <w:t>Neverthe</w:t>
      </w:r>
      <w:r w:rsidR="002F1941" w:rsidRPr="000218B9">
        <w:rPr>
          <w:sz w:val="24"/>
          <w:szCs w:val="24"/>
        </w:rPr>
        <w:t xml:space="preserve">less, it did contain </w:t>
      </w:r>
      <w:proofErr w:type="spellStart"/>
      <w:r w:rsidR="002F1941" w:rsidRPr="000218B9">
        <w:rPr>
          <w:sz w:val="24"/>
          <w:szCs w:val="24"/>
        </w:rPr>
        <w:t>Kropotkinian</w:t>
      </w:r>
      <w:proofErr w:type="spellEnd"/>
      <w:r w:rsidR="002F1941" w:rsidRPr="000218B9">
        <w:rPr>
          <w:sz w:val="24"/>
          <w:szCs w:val="24"/>
        </w:rPr>
        <w:t xml:space="preserve"> elements, such as</w:t>
      </w:r>
      <w:r w:rsidR="00FB318B" w:rsidRPr="000218B9">
        <w:rPr>
          <w:sz w:val="24"/>
          <w:szCs w:val="24"/>
        </w:rPr>
        <w:t xml:space="preserve"> </w:t>
      </w:r>
      <w:r w:rsidR="002F1941" w:rsidRPr="000218B9">
        <w:rPr>
          <w:sz w:val="24"/>
          <w:szCs w:val="24"/>
        </w:rPr>
        <w:t>community ownership of land</w:t>
      </w:r>
      <w:r w:rsidR="00E45AA1" w:rsidRPr="000218B9">
        <w:rPr>
          <w:sz w:val="24"/>
          <w:szCs w:val="24"/>
        </w:rPr>
        <w:t>,</w:t>
      </w:r>
      <w:r w:rsidR="002F1941" w:rsidRPr="000218B9">
        <w:rPr>
          <w:sz w:val="24"/>
          <w:szCs w:val="24"/>
        </w:rPr>
        <w:t xml:space="preserve"> notion</w:t>
      </w:r>
      <w:r w:rsidR="00897549" w:rsidRPr="000218B9">
        <w:rPr>
          <w:sz w:val="24"/>
          <w:szCs w:val="24"/>
        </w:rPr>
        <w:t>s</w:t>
      </w:r>
      <w:r w:rsidR="002F1941" w:rsidRPr="000218B9">
        <w:rPr>
          <w:sz w:val="24"/>
          <w:szCs w:val="24"/>
        </w:rPr>
        <w:t xml:space="preserve"> of se</w:t>
      </w:r>
      <w:r w:rsidR="00832866" w:rsidRPr="000218B9">
        <w:rPr>
          <w:sz w:val="24"/>
          <w:szCs w:val="24"/>
        </w:rPr>
        <w:t>lf-sufficient agricultural, horticultural and industrial production</w:t>
      </w:r>
      <w:r w:rsidR="006438C9" w:rsidRPr="000218B9">
        <w:rPr>
          <w:sz w:val="24"/>
          <w:szCs w:val="24"/>
        </w:rPr>
        <w:t xml:space="preserve">, </w:t>
      </w:r>
      <w:r w:rsidR="00F13525" w:rsidRPr="000218B9">
        <w:rPr>
          <w:sz w:val="24"/>
          <w:szCs w:val="24"/>
        </w:rPr>
        <w:t>public-spirited co-operation by individuals</w:t>
      </w:r>
      <w:r w:rsidR="00277294" w:rsidRPr="000218B9">
        <w:rPr>
          <w:sz w:val="24"/>
          <w:szCs w:val="24"/>
        </w:rPr>
        <w:t>,</w:t>
      </w:r>
      <w:r w:rsidR="006438C9" w:rsidRPr="000218B9">
        <w:rPr>
          <w:sz w:val="24"/>
          <w:szCs w:val="24"/>
        </w:rPr>
        <w:t xml:space="preserve"> and a healthier way of life</w:t>
      </w:r>
      <w:r w:rsidR="004D2045" w:rsidRPr="000218B9">
        <w:rPr>
          <w:sz w:val="24"/>
          <w:szCs w:val="24"/>
        </w:rPr>
        <w:t xml:space="preserve">.  </w:t>
      </w:r>
    </w:p>
    <w:p w:rsidR="00050AA2" w:rsidRPr="000218B9" w:rsidRDefault="004D2045" w:rsidP="00834E70">
      <w:pPr>
        <w:spacing w:line="360" w:lineRule="auto"/>
        <w:rPr>
          <w:b/>
          <w:sz w:val="24"/>
          <w:szCs w:val="24"/>
        </w:rPr>
      </w:pPr>
      <w:r w:rsidRPr="000218B9">
        <w:rPr>
          <w:sz w:val="24"/>
          <w:szCs w:val="24"/>
        </w:rPr>
        <w:t>The</w:t>
      </w:r>
      <w:r w:rsidR="00E45AA1" w:rsidRPr="000218B9">
        <w:rPr>
          <w:sz w:val="24"/>
          <w:szCs w:val="24"/>
        </w:rPr>
        <w:t xml:space="preserve"> public</w:t>
      </w:r>
      <w:r w:rsidRPr="000218B9">
        <w:rPr>
          <w:sz w:val="24"/>
          <w:szCs w:val="24"/>
        </w:rPr>
        <w:t xml:space="preserve"> acceptability of referencing </w:t>
      </w:r>
      <w:r w:rsidR="002F1941" w:rsidRPr="000218B9">
        <w:rPr>
          <w:sz w:val="24"/>
          <w:szCs w:val="24"/>
        </w:rPr>
        <w:t>Kropotkin</w:t>
      </w:r>
      <w:r w:rsidR="00E45AA1" w:rsidRPr="000218B9">
        <w:rPr>
          <w:sz w:val="24"/>
          <w:szCs w:val="24"/>
        </w:rPr>
        <w:t>’s [</w:t>
      </w:r>
      <w:r w:rsidR="00561F4F" w:rsidRPr="000218B9">
        <w:rPr>
          <w:sz w:val="24"/>
          <w:szCs w:val="24"/>
        </w:rPr>
        <w:t xml:space="preserve">albeit </w:t>
      </w:r>
      <w:r w:rsidR="00E45AA1" w:rsidRPr="000218B9">
        <w:rPr>
          <w:sz w:val="24"/>
          <w:szCs w:val="24"/>
        </w:rPr>
        <w:t>anarchist] theories</w:t>
      </w:r>
      <w:r w:rsidR="00F420C8" w:rsidRPr="000218B9">
        <w:rPr>
          <w:sz w:val="24"/>
          <w:szCs w:val="24"/>
        </w:rPr>
        <w:t xml:space="preserve"> by</w:t>
      </w:r>
      <w:r w:rsidR="00E45AA1" w:rsidRPr="000218B9">
        <w:rPr>
          <w:sz w:val="24"/>
          <w:szCs w:val="24"/>
        </w:rPr>
        <w:t xml:space="preserve"> Howard’s book – in a period</w:t>
      </w:r>
      <w:r w:rsidR="00DC51BF" w:rsidRPr="000218B9">
        <w:rPr>
          <w:sz w:val="24"/>
          <w:szCs w:val="24"/>
        </w:rPr>
        <w:t xml:space="preserve"> where people were</w:t>
      </w:r>
      <w:r w:rsidR="00E45AA1" w:rsidRPr="000218B9">
        <w:rPr>
          <w:sz w:val="24"/>
          <w:szCs w:val="24"/>
        </w:rPr>
        <w:t xml:space="preserve"> terrified by the threat of anarchist violence - seem to have relied on a failure to identify Kropotkin overtly with</w:t>
      </w:r>
      <w:r w:rsidR="008F28DA" w:rsidRPr="000218B9">
        <w:rPr>
          <w:sz w:val="24"/>
          <w:szCs w:val="24"/>
        </w:rPr>
        <w:t xml:space="preserve"> the popular model of</w:t>
      </w:r>
      <w:r w:rsidR="00E45AA1" w:rsidRPr="000218B9">
        <w:rPr>
          <w:sz w:val="24"/>
          <w:szCs w:val="24"/>
        </w:rPr>
        <w:t xml:space="preserve"> anarchism by the British intelligentsia</w:t>
      </w:r>
      <w:r w:rsidR="00F13525" w:rsidRPr="000218B9">
        <w:rPr>
          <w:sz w:val="24"/>
          <w:szCs w:val="24"/>
        </w:rPr>
        <w:t xml:space="preserve"> and general public</w:t>
      </w:r>
      <w:r w:rsidR="00E45AA1" w:rsidRPr="000218B9">
        <w:rPr>
          <w:sz w:val="24"/>
          <w:szCs w:val="24"/>
        </w:rPr>
        <w:t>.</w:t>
      </w:r>
      <w:r w:rsidR="00F13525" w:rsidRPr="000218B9">
        <w:rPr>
          <w:sz w:val="24"/>
          <w:szCs w:val="24"/>
        </w:rPr>
        <w:t xml:space="preserve">  Rather, as Kropotkin’s</w:t>
      </w:r>
      <w:r w:rsidR="00DC51BF" w:rsidRPr="000218B9">
        <w:rPr>
          <w:sz w:val="24"/>
          <w:szCs w:val="24"/>
        </w:rPr>
        <w:t xml:space="preserve"> authoritative biographers, Woodcock and </w:t>
      </w:r>
      <w:proofErr w:type="spellStart"/>
      <w:r w:rsidR="00DC51BF" w:rsidRPr="000218B9">
        <w:rPr>
          <w:sz w:val="24"/>
          <w:szCs w:val="24"/>
        </w:rPr>
        <w:t>Avacumovic</w:t>
      </w:r>
      <w:proofErr w:type="spellEnd"/>
      <w:r w:rsidR="00DC51BF" w:rsidRPr="000218B9">
        <w:rPr>
          <w:sz w:val="24"/>
          <w:szCs w:val="24"/>
        </w:rPr>
        <w:t xml:space="preserve"> have argued, </w:t>
      </w:r>
      <w:r w:rsidR="00F13525" w:rsidRPr="000218B9">
        <w:rPr>
          <w:sz w:val="24"/>
          <w:szCs w:val="24"/>
        </w:rPr>
        <w:t xml:space="preserve">he </w:t>
      </w:r>
      <w:r w:rsidR="00DC51BF" w:rsidRPr="000218B9">
        <w:rPr>
          <w:sz w:val="24"/>
          <w:szCs w:val="24"/>
        </w:rPr>
        <w:t>was primarily perceived in Britain as a scholar and a</w:t>
      </w:r>
      <w:r w:rsidR="00CE48A3" w:rsidRPr="000218B9">
        <w:rPr>
          <w:sz w:val="24"/>
          <w:szCs w:val="24"/>
        </w:rPr>
        <w:t>cademic, on the strength of his</w:t>
      </w:r>
      <w:r w:rsidR="001F26B3" w:rsidRPr="000218B9">
        <w:rPr>
          <w:sz w:val="24"/>
          <w:szCs w:val="24"/>
        </w:rPr>
        <w:t xml:space="preserve"> geographical, sociological and </w:t>
      </w:r>
      <w:r w:rsidR="00DC51BF" w:rsidRPr="000218B9">
        <w:rPr>
          <w:sz w:val="24"/>
          <w:szCs w:val="24"/>
        </w:rPr>
        <w:t>popular science articles</w:t>
      </w:r>
      <w:r w:rsidR="00561F4F" w:rsidRPr="000218B9">
        <w:rPr>
          <w:sz w:val="24"/>
          <w:szCs w:val="24"/>
        </w:rPr>
        <w:t xml:space="preserve">, from which he made a large part of his living.  </w:t>
      </w:r>
      <w:r w:rsidR="008E04C9" w:rsidRPr="000218B9">
        <w:rPr>
          <w:sz w:val="24"/>
          <w:szCs w:val="24"/>
        </w:rPr>
        <w:t xml:space="preserve">Indeed in 1894, the </w:t>
      </w:r>
      <w:r w:rsidR="008E04C9" w:rsidRPr="000218B9">
        <w:rPr>
          <w:i/>
          <w:sz w:val="24"/>
          <w:szCs w:val="24"/>
        </w:rPr>
        <w:t>Contemporary Review</w:t>
      </w:r>
      <w:r w:rsidR="00E925BB" w:rsidRPr="000218B9">
        <w:rPr>
          <w:sz w:val="24"/>
          <w:szCs w:val="24"/>
        </w:rPr>
        <w:t xml:space="preserve"> hailed him</w:t>
      </w:r>
      <w:r w:rsidR="008E04C9" w:rsidRPr="000218B9">
        <w:rPr>
          <w:sz w:val="24"/>
          <w:szCs w:val="24"/>
        </w:rPr>
        <w:t xml:space="preserve"> as </w:t>
      </w:r>
      <w:r w:rsidR="006438C9" w:rsidRPr="000218B9">
        <w:rPr>
          <w:sz w:val="24"/>
          <w:szCs w:val="24"/>
        </w:rPr>
        <w:t>‘</w:t>
      </w:r>
      <w:r w:rsidR="008E04C9" w:rsidRPr="000218B9">
        <w:rPr>
          <w:sz w:val="24"/>
          <w:szCs w:val="24"/>
        </w:rPr>
        <w:t>our most distinguished refugee’.</w:t>
      </w:r>
      <w:r w:rsidR="006438C9" w:rsidRPr="000218B9">
        <w:rPr>
          <w:rStyle w:val="FootnoteReference"/>
          <w:sz w:val="24"/>
          <w:szCs w:val="24"/>
        </w:rPr>
        <w:footnoteReference w:id="18"/>
      </w:r>
      <w:r w:rsidR="008E04C9" w:rsidRPr="000218B9">
        <w:rPr>
          <w:sz w:val="24"/>
          <w:szCs w:val="24"/>
        </w:rPr>
        <w:t xml:space="preserve">  </w:t>
      </w:r>
      <w:r w:rsidR="00905913" w:rsidRPr="000218B9">
        <w:rPr>
          <w:b/>
          <w:sz w:val="24"/>
          <w:szCs w:val="24"/>
          <w:highlight w:val="yellow"/>
        </w:rPr>
        <w:t>[SLIDE 9</w:t>
      </w:r>
      <w:r w:rsidR="008E04C9" w:rsidRPr="000218B9">
        <w:rPr>
          <w:b/>
          <w:sz w:val="24"/>
          <w:szCs w:val="24"/>
          <w:highlight w:val="yellow"/>
        </w:rPr>
        <w:t>]</w:t>
      </w:r>
      <w:r w:rsidR="008E04C9" w:rsidRPr="000218B9">
        <w:rPr>
          <w:b/>
          <w:sz w:val="24"/>
          <w:szCs w:val="24"/>
        </w:rPr>
        <w:t xml:space="preserve">  </w:t>
      </w:r>
      <w:r w:rsidR="008E04C9" w:rsidRPr="000218B9">
        <w:rPr>
          <w:sz w:val="24"/>
          <w:szCs w:val="24"/>
        </w:rPr>
        <w:t>Moreover, while Kropotkin remained a believer in rev</w:t>
      </w:r>
      <w:r w:rsidR="00CF21A3" w:rsidRPr="000218B9">
        <w:rPr>
          <w:sz w:val="24"/>
          <w:szCs w:val="24"/>
        </w:rPr>
        <w:t xml:space="preserve">olution, </w:t>
      </w:r>
      <w:r w:rsidR="008E04C9" w:rsidRPr="000218B9">
        <w:rPr>
          <w:sz w:val="24"/>
          <w:szCs w:val="24"/>
        </w:rPr>
        <w:t xml:space="preserve">during the years spent in Britain he became increasingly averse to the sorts of violent terrorism that had been advocated particularly by the other </w:t>
      </w:r>
      <w:proofErr w:type="gramStart"/>
      <w:r w:rsidR="008E04C9" w:rsidRPr="000218B9">
        <w:rPr>
          <w:sz w:val="24"/>
          <w:szCs w:val="24"/>
        </w:rPr>
        <w:t>great</w:t>
      </w:r>
      <w:proofErr w:type="gramEnd"/>
      <w:r w:rsidR="008E04C9" w:rsidRPr="000218B9">
        <w:rPr>
          <w:sz w:val="24"/>
          <w:szCs w:val="24"/>
        </w:rPr>
        <w:t xml:space="preserve"> Russian theorist of anarchism, Mikhail Bakunin.  Kropotkin may not have thought of himself as </w:t>
      </w:r>
      <w:proofErr w:type="gramStart"/>
      <w:r w:rsidR="008E04C9" w:rsidRPr="000218B9">
        <w:rPr>
          <w:sz w:val="24"/>
          <w:szCs w:val="24"/>
        </w:rPr>
        <w:t>an</w:t>
      </w:r>
      <w:proofErr w:type="gramEnd"/>
      <w:r w:rsidR="008E04C9" w:rsidRPr="000218B9">
        <w:rPr>
          <w:sz w:val="24"/>
          <w:szCs w:val="24"/>
        </w:rPr>
        <w:t xml:space="preserve"> Utopian theorist, but in the British context of the 1880s-1890s, that was how he was effectively positioned.  </w:t>
      </w:r>
      <w:r w:rsidR="00561F4F" w:rsidRPr="000218B9">
        <w:rPr>
          <w:sz w:val="24"/>
          <w:szCs w:val="24"/>
        </w:rPr>
        <w:t>In this sense, contextually, there was no problem with Howard’s reference to Kropotkin</w:t>
      </w:r>
      <w:r w:rsidR="00F420C8" w:rsidRPr="000218B9">
        <w:rPr>
          <w:sz w:val="24"/>
          <w:szCs w:val="24"/>
        </w:rPr>
        <w:t>.</w:t>
      </w:r>
      <w:r w:rsidR="006438C9" w:rsidRPr="000218B9">
        <w:rPr>
          <w:rStyle w:val="FootnoteReference"/>
          <w:sz w:val="24"/>
          <w:szCs w:val="24"/>
        </w:rPr>
        <w:t xml:space="preserve"> </w:t>
      </w:r>
      <w:r w:rsidR="006438C9" w:rsidRPr="000218B9">
        <w:rPr>
          <w:rStyle w:val="FootnoteReference"/>
          <w:sz w:val="24"/>
          <w:szCs w:val="24"/>
        </w:rPr>
        <w:footnoteReference w:id="19"/>
      </w:r>
      <w:r w:rsidR="000947EC" w:rsidRPr="000218B9">
        <w:rPr>
          <w:sz w:val="24"/>
          <w:szCs w:val="24"/>
        </w:rPr>
        <w:t xml:space="preserve">  </w:t>
      </w:r>
      <w:r w:rsidR="0010665C" w:rsidRPr="000218B9">
        <w:rPr>
          <w:sz w:val="24"/>
          <w:szCs w:val="24"/>
        </w:rPr>
        <w:t xml:space="preserve">  </w:t>
      </w:r>
      <w:r w:rsidR="005040B0" w:rsidRPr="000218B9">
        <w:rPr>
          <w:sz w:val="24"/>
          <w:szCs w:val="24"/>
        </w:rPr>
        <w:t xml:space="preserve"> </w:t>
      </w:r>
      <w:r w:rsidR="00103032" w:rsidRPr="000218B9">
        <w:rPr>
          <w:sz w:val="24"/>
          <w:szCs w:val="24"/>
        </w:rPr>
        <w:t xml:space="preserve"> </w:t>
      </w:r>
    </w:p>
    <w:p w:rsidR="0017701B" w:rsidRPr="000218B9" w:rsidRDefault="0017701B" w:rsidP="00834E70">
      <w:pPr>
        <w:spacing w:line="360" w:lineRule="auto"/>
        <w:rPr>
          <w:sz w:val="24"/>
          <w:szCs w:val="24"/>
        </w:rPr>
      </w:pPr>
      <w:r w:rsidRPr="000218B9">
        <w:rPr>
          <w:sz w:val="24"/>
          <w:szCs w:val="24"/>
          <w:u w:val="single"/>
        </w:rPr>
        <w:t>Q.2 Was Kropotkin reciprocally interested in Letchworth?</w:t>
      </w:r>
    </w:p>
    <w:p w:rsidR="00050AA2" w:rsidRPr="000218B9" w:rsidRDefault="000A13DA" w:rsidP="00834E70">
      <w:pPr>
        <w:spacing w:line="360" w:lineRule="auto"/>
        <w:rPr>
          <w:sz w:val="24"/>
          <w:szCs w:val="24"/>
        </w:rPr>
      </w:pPr>
      <w:r w:rsidRPr="000218B9">
        <w:rPr>
          <w:sz w:val="24"/>
          <w:szCs w:val="24"/>
        </w:rPr>
        <w:t>Given the areas o</w:t>
      </w:r>
      <w:r w:rsidR="00DF140F" w:rsidRPr="000218B9">
        <w:rPr>
          <w:sz w:val="24"/>
          <w:szCs w:val="24"/>
        </w:rPr>
        <w:t>f potential convergence of ideas</w:t>
      </w:r>
      <w:r w:rsidR="00640843" w:rsidRPr="000218B9">
        <w:rPr>
          <w:sz w:val="24"/>
          <w:szCs w:val="24"/>
        </w:rPr>
        <w:t xml:space="preserve"> between Howard and Kropotkin</w:t>
      </w:r>
      <w:r w:rsidRPr="000218B9">
        <w:rPr>
          <w:sz w:val="24"/>
          <w:szCs w:val="24"/>
        </w:rPr>
        <w:t xml:space="preserve">, </w:t>
      </w:r>
      <w:r w:rsidR="00BA28E5" w:rsidRPr="000218B9">
        <w:rPr>
          <w:sz w:val="24"/>
          <w:szCs w:val="24"/>
        </w:rPr>
        <w:t>Letchworth</w:t>
      </w:r>
      <w:r w:rsidRPr="000218B9">
        <w:rPr>
          <w:sz w:val="24"/>
          <w:szCs w:val="24"/>
        </w:rPr>
        <w:t>, albeit emphatically defined by Howard as not a ‘sociali</w:t>
      </w:r>
      <w:r w:rsidR="00D37F0D" w:rsidRPr="000218B9">
        <w:rPr>
          <w:sz w:val="24"/>
          <w:szCs w:val="24"/>
        </w:rPr>
        <w:t>st experiment’,</w:t>
      </w:r>
      <w:r w:rsidR="001B4EFC" w:rsidRPr="000218B9">
        <w:rPr>
          <w:rStyle w:val="FootnoteReference"/>
          <w:sz w:val="24"/>
          <w:szCs w:val="24"/>
        </w:rPr>
        <w:footnoteReference w:id="20"/>
      </w:r>
      <w:r w:rsidR="00D37F0D" w:rsidRPr="000218B9">
        <w:rPr>
          <w:sz w:val="24"/>
          <w:szCs w:val="24"/>
        </w:rPr>
        <w:t xml:space="preserve"> was</w:t>
      </w:r>
      <w:r w:rsidRPr="000218B9">
        <w:rPr>
          <w:sz w:val="24"/>
          <w:szCs w:val="24"/>
        </w:rPr>
        <w:t xml:space="preserve"> at least marginally interesting to Kropotkin.</w:t>
      </w:r>
      <w:r w:rsidR="00D73DBE" w:rsidRPr="000218B9">
        <w:rPr>
          <w:sz w:val="24"/>
          <w:szCs w:val="24"/>
        </w:rPr>
        <w:t xml:space="preserve">  </w:t>
      </w:r>
      <w:r w:rsidR="0053243D" w:rsidRPr="000218B9">
        <w:rPr>
          <w:sz w:val="24"/>
          <w:szCs w:val="24"/>
        </w:rPr>
        <w:t>For instance, i</w:t>
      </w:r>
      <w:r w:rsidR="001E6B91" w:rsidRPr="000218B9">
        <w:rPr>
          <w:sz w:val="24"/>
          <w:szCs w:val="24"/>
        </w:rPr>
        <w:t>n 1901, t</w:t>
      </w:r>
      <w:r w:rsidR="00DF140F" w:rsidRPr="000218B9">
        <w:rPr>
          <w:sz w:val="24"/>
          <w:szCs w:val="24"/>
        </w:rPr>
        <w:t xml:space="preserve">he </w:t>
      </w:r>
      <w:r w:rsidR="001E6B91" w:rsidRPr="000218B9">
        <w:rPr>
          <w:sz w:val="24"/>
          <w:szCs w:val="24"/>
        </w:rPr>
        <w:t xml:space="preserve">re-vamped title of the </w:t>
      </w:r>
      <w:r w:rsidR="00E75D7B" w:rsidRPr="000218B9">
        <w:rPr>
          <w:sz w:val="24"/>
          <w:szCs w:val="24"/>
        </w:rPr>
        <w:t xml:space="preserve">revised </w:t>
      </w:r>
      <w:r w:rsidR="001E6B91" w:rsidRPr="000218B9">
        <w:rPr>
          <w:sz w:val="24"/>
          <w:szCs w:val="24"/>
        </w:rPr>
        <w:t xml:space="preserve">second edition of </w:t>
      </w:r>
      <w:proofErr w:type="spellStart"/>
      <w:r w:rsidR="001E6B91" w:rsidRPr="000218B9">
        <w:rPr>
          <w:sz w:val="24"/>
          <w:szCs w:val="24"/>
        </w:rPr>
        <w:t>Kroptkin’s</w:t>
      </w:r>
      <w:proofErr w:type="spellEnd"/>
      <w:r w:rsidR="001E6B91" w:rsidRPr="000218B9">
        <w:rPr>
          <w:sz w:val="24"/>
          <w:szCs w:val="24"/>
        </w:rPr>
        <w:t xml:space="preserve"> book </w:t>
      </w:r>
      <w:r w:rsidR="008023DE" w:rsidRPr="000218B9">
        <w:rPr>
          <w:i/>
          <w:sz w:val="24"/>
          <w:szCs w:val="24"/>
        </w:rPr>
        <w:t xml:space="preserve">Fields, </w:t>
      </w:r>
      <w:r w:rsidR="00DF140F" w:rsidRPr="000218B9">
        <w:rPr>
          <w:i/>
          <w:sz w:val="24"/>
          <w:szCs w:val="24"/>
        </w:rPr>
        <w:t xml:space="preserve">Factories and Workshops </w:t>
      </w:r>
      <w:r w:rsidR="00DF140F" w:rsidRPr="000218B9">
        <w:rPr>
          <w:i/>
          <w:sz w:val="24"/>
          <w:szCs w:val="24"/>
          <w:u w:val="single"/>
        </w:rPr>
        <w:t>Tomorrow</w:t>
      </w:r>
      <w:r w:rsidR="001E6B91" w:rsidRPr="000218B9">
        <w:rPr>
          <w:sz w:val="24"/>
          <w:szCs w:val="24"/>
        </w:rPr>
        <w:t>, a</w:t>
      </w:r>
      <w:r w:rsidR="00050AA2" w:rsidRPr="000218B9">
        <w:rPr>
          <w:sz w:val="24"/>
          <w:szCs w:val="24"/>
        </w:rPr>
        <w:t xml:space="preserve">ppears implicitly to reference </w:t>
      </w:r>
      <w:r w:rsidR="001E6B91" w:rsidRPr="000218B9">
        <w:rPr>
          <w:sz w:val="24"/>
          <w:szCs w:val="24"/>
        </w:rPr>
        <w:t>the</w:t>
      </w:r>
      <w:r w:rsidR="0053243D" w:rsidRPr="000218B9">
        <w:rPr>
          <w:sz w:val="24"/>
          <w:szCs w:val="24"/>
        </w:rPr>
        <w:t xml:space="preserve"> ‘Tomorrow’ keyword in the</w:t>
      </w:r>
      <w:r w:rsidR="001E6B91" w:rsidRPr="000218B9">
        <w:rPr>
          <w:sz w:val="24"/>
          <w:szCs w:val="24"/>
        </w:rPr>
        <w:t xml:space="preserve"> title</w:t>
      </w:r>
      <w:r w:rsidR="00BA28E5" w:rsidRPr="000218B9">
        <w:rPr>
          <w:sz w:val="24"/>
          <w:szCs w:val="24"/>
        </w:rPr>
        <w:t>s</w:t>
      </w:r>
      <w:r w:rsidR="001E6B91" w:rsidRPr="000218B9">
        <w:rPr>
          <w:sz w:val="24"/>
          <w:szCs w:val="24"/>
        </w:rPr>
        <w:t xml:space="preserve"> of </w:t>
      </w:r>
      <w:r w:rsidR="00F33C20" w:rsidRPr="000218B9">
        <w:rPr>
          <w:sz w:val="24"/>
          <w:szCs w:val="24"/>
        </w:rPr>
        <w:t xml:space="preserve"> the first and second editions of </w:t>
      </w:r>
      <w:r w:rsidR="001E6B91" w:rsidRPr="000218B9">
        <w:rPr>
          <w:sz w:val="24"/>
          <w:szCs w:val="24"/>
        </w:rPr>
        <w:t>Howard’s book, and there is</w:t>
      </w:r>
      <w:r w:rsidR="0053243D" w:rsidRPr="000218B9">
        <w:rPr>
          <w:sz w:val="24"/>
          <w:szCs w:val="24"/>
        </w:rPr>
        <w:t xml:space="preserve"> also</w:t>
      </w:r>
      <w:r w:rsidR="001E6B91" w:rsidRPr="000218B9">
        <w:rPr>
          <w:sz w:val="24"/>
          <w:szCs w:val="24"/>
        </w:rPr>
        <w:t xml:space="preserve"> a</w:t>
      </w:r>
      <w:r w:rsidR="00DF140F" w:rsidRPr="000218B9">
        <w:rPr>
          <w:sz w:val="24"/>
          <w:szCs w:val="24"/>
        </w:rPr>
        <w:t xml:space="preserve"> </w:t>
      </w:r>
      <w:r w:rsidR="00640843" w:rsidRPr="000218B9">
        <w:rPr>
          <w:sz w:val="24"/>
          <w:szCs w:val="24"/>
        </w:rPr>
        <w:t xml:space="preserve">passing </w:t>
      </w:r>
      <w:r w:rsidR="001E6B91" w:rsidRPr="000218B9">
        <w:rPr>
          <w:sz w:val="24"/>
          <w:szCs w:val="24"/>
        </w:rPr>
        <w:t>me</w:t>
      </w:r>
      <w:r w:rsidR="0053243D" w:rsidRPr="000218B9">
        <w:rPr>
          <w:sz w:val="24"/>
          <w:szCs w:val="24"/>
        </w:rPr>
        <w:t>ntion of the Garden City idea.  B</w:t>
      </w:r>
      <w:r w:rsidR="001E6B91" w:rsidRPr="000218B9">
        <w:rPr>
          <w:sz w:val="24"/>
          <w:szCs w:val="24"/>
        </w:rPr>
        <w:t xml:space="preserve">ut, </w:t>
      </w:r>
      <w:r w:rsidR="001E6B91" w:rsidRPr="000218B9">
        <w:rPr>
          <w:sz w:val="24"/>
          <w:szCs w:val="24"/>
        </w:rPr>
        <w:lastRenderedPageBreak/>
        <w:t xml:space="preserve">as Volker Welter has argued, Kropotkin did not indicate </w:t>
      </w:r>
      <w:r w:rsidR="00766309" w:rsidRPr="000218B9">
        <w:rPr>
          <w:sz w:val="24"/>
          <w:szCs w:val="24"/>
        </w:rPr>
        <w:t>whether he favoured this project</w:t>
      </w:r>
      <w:r w:rsidR="001E6B91" w:rsidRPr="000218B9">
        <w:rPr>
          <w:sz w:val="24"/>
          <w:szCs w:val="24"/>
        </w:rPr>
        <w:t>.</w:t>
      </w:r>
      <w:r w:rsidR="001E6B91" w:rsidRPr="000218B9">
        <w:rPr>
          <w:rStyle w:val="FootnoteReference"/>
          <w:sz w:val="24"/>
          <w:szCs w:val="24"/>
        </w:rPr>
        <w:footnoteReference w:id="21"/>
      </w:r>
      <w:r w:rsidR="008752AC" w:rsidRPr="000218B9">
        <w:rPr>
          <w:sz w:val="24"/>
          <w:szCs w:val="24"/>
        </w:rPr>
        <w:t xml:space="preserve"> </w:t>
      </w:r>
      <w:r w:rsidR="000B3188" w:rsidRPr="000218B9">
        <w:rPr>
          <w:sz w:val="24"/>
          <w:szCs w:val="24"/>
        </w:rPr>
        <w:t xml:space="preserve"> </w:t>
      </w:r>
      <w:r w:rsidR="00922A19" w:rsidRPr="000218B9">
        <w:rPr>
          <w:sz w:val="24"/>
          <w:szCs w:val="24"/>
        </w:rPr>
        <w:t>I suspect not, because as Welter</w:t>
      </w:r>
      <w:r w:rsidR="00766309" w:rsidRPr="000218B9">
        <w:rPr>
          <w:sz w:val="24"/>
          <w:szCs w:val="24"/>
        </w:rPr>
        <w:t xml:space="preserve"> has</w:t>
      </w:r>
      <w:r w:rsidR="00D847F2" w:rsidRPr="000218B9">
        <w:rPr>
          <w:sz w:val="24"/>
          <w:szCs w:val="24"/>
        </w:rPr>
        <w:t xml:space="preserve"> also</w:t>
      </w:r>
      <w:r w:rsidR="009B2171" w:rsidRPr="000218B9">
        <w:rPr>
          <w:sz w:val="24"/>
          <w:szCs w:val="24"/>
        </w:rPr>
        <w:t xml:space="preserve"> suggested, Kropotkin’s preferred models</w:t>
      </w:r>
      <w:r w:rsidR="00766309" w:rsidRPr="000218B9">
        <w:rPr>
          <w:sz w:val="24"/>
          <w:szCs w:val="24"/>
        </w:rPr>
        <w:t xml:space="preserve"> of co</w:t>
      </w:r>
      <w:r w:rsidR="00640843" w:rsidRPr="000218B9">
        <w:rPr>
          <w:sz w:val="24"/>
          <w:szCs w:val="24"/>
        </w:rPr>
        <w:t>-</w:t>
      </w:r>
      <w:r w:rsidR="00766309" w:rsidRPr="000218B9">
        <w:rPr>
          <w:sz w:val="24"/>
          <w:szCs w:val="24"/>
        </w:rPr>
        <w:t>operati</w:t>
      </w:r>
      <w:r w:rsidR="006D53B6" w:rsidRPr="000218B9">
        <w:rPr>
          <w:sz w:val="24"/>
          <w:szCs w:val="24"/>
        </w:rPr>
        <w:t xml:space="preserve">on and </w:t>
      </w:r>
      <w:r w:rsidR="009B2171" w:rsidRPr="000218B9">
        <w:rPr>
          <w:sz w:val="24"/>
          <w:szCs w:val="24"/>
        </w:rPr>
        <w:t>‘</w:t>
      </w:r>
      <w:r w:rsidR="006D53B6" w:rsidRPr="000218B9">
        <w:rPr>
          <w:sz w:val="24"/>
          <w:szCs w:val="24"/>
        </w:rPr>
        <w:t>mutual aid</w:t>
      </w:r>
      <w:r w:rsidR="009B2171" w:rsidRPr="000218B9">
        <w:rPr>
          <w:sz w:val="24"/>
          <w:szCs w:val="24"/>
        </w:rPr>
        <w:t>’</w:t>
      </w:r>
      <w:r w:rsidR="006D53B6" w:rsidRPr="000218B9">
        <w:rPr>
          <w:sz w:val="24"/>
          <w:szCs w:val="24"/>
        </w:rPr>
        <w:t xml:space="preserve"> were of small-</w:t>
      </w:r>
      <w:r w:rsidR="00766309" w:rsidRPr="000218B9">
        <w:rPr>
          <w:sz w:val="24"/>
          <w:szCs w:val="24"/>
        </w:rPr>
        <w:t>scale rural communes or medieval cities</w:t>
      </w:r>
      <w:r w:rsidR="00D847F2" w:rsidRPr="000218B9">
        <w:rPr>
          <w:sz w:val="24"/>
          <w:szCs w:val="24"/>
        </w:rPr>
        <w:t>,</w:t>
      </w:r>
      <w:r w:rsidR="005A0BAE" w:rsidRPr="000218B9">
        <w:rPr>
          <w:rStyle w:val="FootnoteReference"/>
          <w:sz w:val="24"/>
          <w:szCs w:val="24"/>
        </w:rPr>
        <w:footnoteReference w:id="22"/>
      </w:r>
      <w:r w:rsidR="00D847F2" w:rsidRPr="000218B9">
        <w:rPr>
          <w:sz w:val="24"/>
          <w:szCs w:val="24"/>
        </w:rPr>
        <w:t xml:space="preserve"> rather than the large</w:t>
      </w:r>
      <w:r w:rsidR="00050AA2" w:rsidRPr="000218B9">
        <w:rPr>
          <w:sz w:val="24"/>
          <w:szCs w:val="24"/>
        </w:rPr>
        <w:t>r</w:t>
      </w:r>
      <w:r w:rsidR="006D53B6" w:rsidRPr="000218B9">
        <w:rPr>
          <w:sz w:val="24"/>
          <w:szCs w:val="24"/>
        </w:rPr>
        <w:t>-</w:t>
      </w:r>
      <w:r w:rsidR="00D847F2" w:rsidRPr="000218B9">
        <w:rPr>
          <w:sz w:val="24"/>
          <w:szCs w:val="24"/>
        </w:rPr>
        <w:t>scale communities that Howard had in mind</w:t>
      </w:r>
      <w:r w:rsidR="00050AA2" w:rsidRPr="000218B9">
        <w:rPr>
          <w:sz w:val="24"/>
          <w:szCs w:val="24"/>
        </w:rPr>
        <w:t>.</w:t>
      </w:r>
      <w:r w:rsidR="000F777F" w:rsidRPr="000218B9">
        <w:rPr>
          <w:sz w:val="24"/>
          <w:szCs w:val="24"/>
        </w:rPr>
        <w:t xml:space="preserve"> </w:t>
      </w:r>
      <w:r w:rsidR="002E0DDF" w:rsidRPr="000218B9">
        <w:rPr>
          <w:sz w:val="24"/>
          <w:szCs w:val="24"/>
        </w:rPr>
        <w:t xml:space="preserve"> </w:t>
      </w:r>
      <w:r w:rsidR="00A769B7" w:rsidRPr="000218B9">
        <w:rPr>
          <w:sz w:val="24"/>
          <w:szCs w:val="24"/>
        </w:rPr>
        <w:t xml:space="preserve">In </w:t>
      </w:r>
      <w:r w:rsidR="00A769B7" w:rsidRPr="000218B9">
        <w:rPr>
          <w:i/>
          <w:sz w:val="24"/>
          <w:szCs w:val="24"/>
        </w:rPr>
        <w:t>Fields, Factories and Workshops</w:t>
      </w:r>
      <w:r w:rsidR="000F777F" w:rsidRPr="000218B9">
        <w:rPr>
          <w:sz w:val="24"/>
          <w:szCs w:val="24"/>
        </w:rPr>
        <w:t xml:space="preserve"> </w:t>
      </w:r>
      <w:r w:rsidR="00A769B7" w:rsidRPr="000218B9">
        <w:rPr>
          <w:sz w:val="24"/>
          <w:szCs w:val="24"/>
        </w:rPr>
        <w:t xml:space="preserve">Kropotkin </w:t>
      </w:r>
      <w:r w:rsidR="000F777F" w:rsidRPr="000218B9">
        <w:rPr>
          <w:sz w:val="24"/>
          <w:szCs w:val="24"/>
        </w:rPr>
        <w:t xml:space="preserve">speculatively discussed </w:t>
      </w:r>
      <w:r w:rsidR="00640843" w:rsidRPr="000218B9">
        <w:rPr>
          <w:sz w:val="24"/>
          <w:szCs w:val="24"/>
        </w:rPr>
        <w:t xml:space="preserve">the viability of a </w:t>
      </w:r>
      <w:r w:rsidR="00A769B7" w:rsidRPr="000218B9">
        <w:rPr>
          <w:sz w:val="24"/>
          <w:szCs w:val="24"/>
        </w:rPr>
        <w:t>commune with 400 acres and 200 fa</w:t>
      </w:r>
      <w:r w:rsidR="000F777F" w:rsidRPr="000218B9">
        <w:rPr>
          <w:sz w:val="24"/>
          <w:szCs w:val="24"/>
        </w:rPr>
        <w:t>milies, where some of the land c</w:t>
      </w:r>
      <w:r w:rsidR="00A769B7" w:rsidRPr="000218B9">
        <w:rPr>
          <w:sz w:val="24"/>
          <w:szCs w:val="24"/>
        </w:rPr>
        <w:t>ould be used for ‘</w:t>
      </w:r>
      <w:proofErr w:type="spellStart"/>
      <w:r w:rsidR="00A769B7" w:rsidRPr="000218B9">
        <w:rPr>
          <w:sz w:val="24"/>
          <w:szCs w:val="24"/>
        </w:rPr>
        <w:t>manufacturies</w:t>
      </w:r>
      <w:proofErr w:type="spellEnd"/>
      <w:r w:rsidR="00A769B7" w:rsidRPr="000218B9">
        <w:rPr>
          <w:sz w:val="24"/>
          <w:szCs w:val="24"/>
        </w:rPr>
        <w:t xml:space="preserve">’, </w:t>
      </w:r>
      <w:r w:rsidR="002E0DDF" w:rsidRPr="000218B9">
        <w:rPr>
          <w:sz w:val="24"/>
          <w:szCs w:val="24"/>
        </w:rPr>
        <w:t xml:space="preserve">as well as public parks </w:t>
      </w:r>
      <w:r w:rsidR="00A769B7" w:rsidRPr="000218B9">
        <w:rPr>
          <w:sz w:val="24"/>
          <w:szCs w:val="24"/>
        </w:rPr>
        <w:t>and leisure facilities</w:t>
      </w:r>
      <w:r w:rsidR="00640843" w:rsidRPr="000218B9">
        <w:rPr>
          <w:sz w:val="24"/>
          <w:szCs w:val="24"/>
        </w:rPr>
        <w:t xml:space="preserve">, </w:t>
      </w:r>
      <w:r w:rsidR="002E0DDF" w:rsidRPr="000218B9">
        <w:rPr>
          <w:sz w:val="24"/>
          <w:szCs w:val="24"/>
        </w:rPr>
        <w:t xml:space="preserve"> while</w:t>
      </w:r>
      <w:r w:rsidR="00A769B7" w:rsidRPr="000218B9">
        <w:rPr>
          <w:sz w:val="24"/>
          <w:szCs w:val="24"/>
        </w:rPr>
        <w:t xml:space="preserve"> the rest </w:t>
      </w:r>
      <w:r w:rsidR="000F777F" w:rsidRPr="000218B9">
        <w:rPr>
          <w:sz w:val="24"/>
          <w:szCs w:val="24"/>
        </w:rPr>
        <w:t>could be used</w:t>
      </w:r>
      <w:r w:rsidR="002E0DDF" w:rsidRPr="000218B9">
        <w:rPr>
          <w:sz w:val="24"/>
          <w:szCs w:val="24"/>
        </w:rPr>
        <w:t xml:space="preserve"> </w:t>
      </w:r>
      <w:r w:rsidR="00A769B7" w:rsidRPr="000218B9">
        <w:rPr>
          <w:sz w:val="24"/>
          <w:szCs w:val="24"/>
        </w:rPr>
        <w:t>for intensive farming and horticulture.</w:t>
      </w:r>
      <w:r w:rsidR="00A769B7" w:rsidRPr="000218B9">
        <w:rPr>
          <w:rStyle w:val="FootnoteReference"/>
          <w:sz w:val="24"/>
          <w:szCs w:val="24"/>
        </w:rPr>
        <w:t xml:space="preserve"> </w:t>
      </w:r>
      <w:r w:rsidR="00A769B7" w:rsidRPr="000218B9">
        <w:rPr>
          <w:rStyle w:val="FootnoteReference"/>
          <w:sz w:val="24"/>
          <w:szCs w:val="24"/>
        </w:rPr>
        <w:footnoteReference w:id="23"/>
      </w:r>
      <w:r w:rsidR="00A769B7" w:rsidRPr="000218B9">
        <w:rPr>
          <w:sz w:val="24"/>
          <w:szCs w:val="24"/>
        </w:rPr>
        <w:t xml:space="preserve"> </w:t>
      </w:r>
      <w:r w:rsidR="00640843" w:rsidRPr="000218B9">
        <w:rPr>
          <w:sz w:val="24"/>
          <w:szCs w:val="24"/>
        </w:rPr>
        <w:t xml:space="preserve"> By contrast, the Letchworth estate </w:t>
      </w:r>
      <w:r w:rsidR="00A769B7" w:rsidRPr="000218B9">
        <w:rPr>
          <w:sz w:val="24"/>
          <w:szCs w:val="24"/>
        </w:rPr>
        <w:t>was</w:t>
      </w:r>
      <w:r w:rsidR="000218B9" w:rsidRPr="000218B9">
        <w:rPr>
          <w:sz w:val="24"/>
          <w:szCs w:val="24"/>
        </w:rPr>
        <w:t xml:space="preserve"> 6,000 acres, 1,000 of which were</w:t>
      </w:r>
      <w:r w:rsidR="00A769B7" w:rsidRPr="000218B9">
        <w:rPr>
          <w:sz w:val="24"/>
          <w:szCs w:val="24"/>
        </w:rPr>
        <w:t xml:space="preserve"> earmarked for </w:t>
      </w:r>
      <w:proofErr w:type="gramStart"/>
      <w:r w:rsidR="00A769B7" w:rsidRPr="000218B9">
        <w:rPr>
          <w:sz w:val="24"/>
          <w:szCs w:val="24"/>
        </w:rPr>
        <w:t>housing  and</w:t>
      </w:r>
      <w:proofErr w:type="gramEnd"/>
      <w:r w:rsidR="00A769B7" w:rsidRPr="000218B9">
        <w:rPr>
          <w:sz w:val="24"/>
          <w:szCs w:val="24"/>
        </w:rPr>
        <w:t xml:space="preserve"> a central park and the rest was apportioned to industry, agriculture, smallholdings</w:t>
      </w:r>
      <w:r w:rsidR="00640843" w:rsidRPr="000218B9">
        <w:rPr>
          <w:sz w:val="24"/>
          <w:szCs w:val="24"/>
        </w:rPr>
        <w:t>,</w:t>
      </w:r>
      <w:r w:rsidR="00A769B7" w:rsidRPr="000218B9">
        <w:rPr>
          <w:sz w:val="24"/>
          <w:szCs w:val="24"/>
        </w:rPr>
        <w:t xml:space="preserve"> allotments and arboriculture</w:t>
      </w:r>
      <w:r w:rsidR="008E4C16" w:rsidRPr="000218B9">
        <w:rPr>
          <w:sz w:val="24"/>
          <w:szCs w:val="24"/>
        </w:rPr>
        <w:t>, with a population limit of 32,000</w:t>
      </w:r>
      <w:r w:rsidR="00A769B7" w:rsidRPr="000218B9">
        <w:rPr>
          <w:sz w:val="24"/>
          <w:szCs w:val="24"/>
        </w:rPr>
        <w:t>.</w:t>
      </w:r>
      <w:r w:rsidR="0092542C" w:rsidRPr="000218B9">
        <w:rPr>
          <w:rStyle w:val="FootnoteReference"/>
          <w:sz w:val="24"/>
          <w:szCs w:val="24"/>
        </w:rPr>
        <w:footnoteReference w:id="24"/>
      </w:r>
      <w:r w:rsidR="00A769B7" w:rsidRPr="000218B9">
        <w:rPr>
          <w:sz w:val="24"/>
          <w:szCs w:val="24"/>
        </w:rPr>
        <w:t xml:space="preserve">  </w:t>
      </w:r>
    </w:p>
    <w:p w:rsidR="0017701B" w:rsidRPr="000218B9" w:rsidRDefault="0017701B" w:rsidP="00834E70">
      <w:pPr>
        <w:spacing w:line="360" w:lineRule="auto"/>
        <w:rPr>
          <w:sz w:val="24"/>
          <w:szCs w:val="24"/>
          <w:u w:val="single"/>
        </w:rPr>
      </w:pPr>
      <w:r w:rsidRPr="000218B9">
        <w:rPr>
          <w:sz w:val="24"/>
          <w:szCs w:val="24"/>
          <w:u w:val="single"/>
        </w:rPr>
        <w:t>Q.3: Did Kropotkin ever visit Letchworth?</w:t>
      </w:r>
    </w:p>
    <w:p w:rsidR="00620A67" w:rsidRPr="000218B9" w:rsidRDefault="004B676D" w:rsidP="00834E70">
      <w:pPr>
        <w:spacing w:line="360" w:lineRule="auto"/>
        <w:rPr>
          <w:sz w:val="24"/>
          <w:szCs w:val="24"/>
        </w:rPr>
      </w:pPr>
      <w:r w:rsidRPr="000218B9">
        <w:rPr>
          <w:sz w:val="24"/>
          <w:szCs w:val="24"/>
        </w:rPr>
        <w:t>G</w:t>
      </w:r>
      <w:r w:rsidR="00A01CF2" w:rsidRPr="000218B9">
        <w:rPr>
          <w:sz w:val="24"/>
          <w:szCs w:val="24"/>
        </w:rPr>
        <w:t>iven the intimation of Kropotkin’s interest in Letchworth, the question arises as to whether he actually visited it.</w:t>
      </w:r>
      <w:r w:rsidRPr="000218B9">
        <w:rPr>
          <w:sz w:val="24"/>
          <w:szCs w:val="24"/>
        </w:rPr>
        <w:t xml:space="preserve">  </w:t>
      </w:r>
      <w:r w:rsidR="00A01CF2" w:rsidRPr="000218B9">
        <w:rPr>
          <w:sz w:val="24"/>
          <w:szCs w:val="24"/>
        </w:rPr>
        <w:t>U</w:t>
      </w:r>
      <w:r w:rsidR="00666E4E" w:rsidRPr="000218B9">
        <w:rPr>
          <w:sz w:val="24"/>
          <w:szCs w:val="24"/>
        </w:rPr>
        <w:t>nfortunately</w:t>
      </w:r>
      <w:r w:rsidR="00333875" w:rsidRPr="000218B9">
        <w:rPr>
          <w:sz w:val="24"/>
          <w:szCs w:val="24"/>
        </w:rPr>
        <w:t>,</w:t>
      </w:r>
      <w:r w:rsidR="00666E4E" w:rsidRPr="000218B9">
        <w:rPr>
          <w:sz w:val="24"/>
          <w:szCs w:val="24"/>
        </w:rPr>
        <w:t xml:space="preserve"> n</w:t>
      </w:r>
      <w:r w:rsidR="001529C7" w:rsidRPr="000218B9">
        <w:rPr>
          <w:sz w:val="24"/>
          <w:szCs w:val="24"/>
        </w:rPr>
        <w:t xml:space="preserve">o clear </w:t>
      </w:r>
      <w:r w:rsidR="0017701B" w:rsidRPr="000218B9">
        <w:rPr>
          <w:sz w:val="24"/>
          <w:szCs w:val="24"/>
        </w:rPr>
        <w:t xml:space="preserve">documentary evidence has yet come to light </w:t>
      </w:r>
      <w:r w:rsidR="001529C7" w:rsidRPr="000218B9">
        <w:rPr>
          <w:sz w:val="24"/>
          <w:szCs w:val="24"/>
        </w:rPr>
        <w:t xml:space="preserve">to confirm </w:t>
      </w:r>
      <w:r w:rsidR="0017701B" w:rsidRPr="000218B9">
        <w:rPr>
          <w:sz w:val="24"/>
          <w:szCs w:val="24"/>
        </w:rPr>
        <w:t>that he did so</w:t>
      </w:r>
      <w:r w:rsidR="001E18B5" w:rsidRPr="000218B9">
        <w:rPr>
          <w:sz w:val="24"/>
          <w:szCs w:val="24"/>
        </w:rPr>
        <w:t>,</w:t>
      </w:r>
      <w:r w:rsidR="00CE7D5D" w:rsidRPr="000218B9">
        <w:rPr>
          <w:sz w:val="24"/>
          <w:szCs w:val="24"/>
        </w:rPr>
        <w:t xml:space="preserve"> </w:t>
      </w:r>
      <w:proofErr w:type="gramStart"/>
      <w:r w:rsidR="00CE7D5D" w:rsidRPr="000218B9">
        <w:rPr>
          <w:sz w:val="24"/>
          <w:szCs w:val="24"/>
        </w:rPr>
        <w:t xml:space="preserve">which is not to say </w:t>
      </w:r>
      <w:r w:rsidR="00666E4E" w:rsidRPr="000218B9">
        <w:rPr>
          <w:sz w:val="24"/>
          <w:szCs w:val="24"/>
        </w:rPr>
        <w:t>that such evidence may not exist</w:t>
      </w:r>
      <w:r w:rsidR="008B3CA3" w:rsidRPr="000218B9">
        <w:rPr>
          <w:sz w:val="24"/>
          <w:szCs w:val="24"/>
        </w:rPr>
        <w:t xml:space="preserve"> in the Letchworth </w:t>
      </w:r>
      <w:r w:rsidRPr="000218B9">
        <w:rPr>
          <w:sz w:val="24"/>
          <w:szCs w:val="24"/>
        </w:rPr>
        <w:t>Herita</w:t>
      </w:r>
      <w:r w:rsidR="008B3CA3" w:rsidRPr="000218B9">
        <w:rPr>
          <w:sz w:val="24"/>
          <w:szCs w:val="24"/>
        </w:rPr>
        <w:t>ge Collection archive, and/or elsewhere</w:t>
      </w:r>
      <w:r w:rsidR="00333875" w:rsidRPr="000218B9">
        <w:rPr>
          <w:sz w:val="24"/>
          <w:szCs w:val="24"/>
        </w:rPr>
        <w:t>.</w:t>
      </w:r>
      <w:proofErr w:type="gramEnd"/>
      <w:r w:rsidR="00333875" w:rsidRPr="000218B9">
        <w:rPr>
          <w:sz w:val="24"/>
          <w:szCs w:val="24"/>
        </w:rPr>
        <w:t xml:space="preserve">  </w:t>
      </w:r>
    </w:p>
    <w:p w:rsidR="009A6C66" w:rsidRPr="000218B9" w:rsidRDefault="004B676D" w:rsidP="00834E70">
      <w:pPr>
        <w:spacing w:line="360" w:lineRule="auto"/>
        <w:rPr>
          <w:sz w:val="24"/>
          <w:szCs w:val="24"/>
        </w:rPr>
      </w:pPr>
      <w:r w:rsidRPr="000218B9">
        <w:rPr>
          <w:sz w:val="24"/>
          <w:szCs w:val="24"/>
        </w:rPr>
        <w:t>T</w:t>
      </w:r>
      <w:r w:rsidR="00620A67" w:rsidRPr="000218B9">
        <w:rPr>
          <w:sz w:val="24"/>
          <w:szCs w:val="24"/>
        </w:rPr>
        <w:t xml:space="preserve">here </w:t>
      </w:r>
      <w:r w:rsidRPr="000218B9">
        <w:rPr>
          <w:sz w:val="24"/>
          <w:szCs w:val="24"/>
        </w:rPr>
        <w:t>is, however,</w:t>
      </w:r>
      <w:r w:rsidR="001529C7" w:rsidRPr="000218B9">
        <w:rPr>
          <w:sz w:val="24"/>
          <w:szCs w:val="24"/>
        </w:rPr>
        <w:t xml:space="preserve"> a significant </w:t>
      </w:r>
      <w:r w:rsidR="0017701B" w:rsidRPr="000218B9">
        <w:rPr>
          <w:sz w:val="24"/>
          <w:szCs w:val="24"/>
        </w:rPr>
        <w:t>piece of circumstantial</w:t>
      </w:r>
      <w:r w:rsidR="001529C7" w:rsidRPr="000218B9">
        <w:rPr>
          <w:sz w:val="24"/>
          <w:szCs w:val="24"/>
        </w:rPr>
        <w:t xml:space="preserve"> historical</w:t>
      </w:r>
      <w:r w:rsidR="00D261C9" w:rsidRPr="000218B9">
        <w:rPr>
          <w:sz w:val="24"/>
          <w:szCs w:val="24"/>
        </w:rPr>
        <w:t xml:space="preserve"> evidence that suggests that Kropotkin</w:t>
      </w:r>
      <w:r w:rsidR="0017701B" w:rsidRPr="000218B9">
        <w:rPr>
          <w:sz w:val="24"/>
          <w:szCs w:val="24"/>
        </w:rPr>
        <w:t xml:space="preserve"> probably did</w:t>
      </w:r>
      <w:r w:rsidR="00620A67" w:rsidRPr="000218B9">
        <w:rPr>
          <w:sz w:val="24"/>
          <w:szCs w:val="24"/>
        </w:rPr>
        <w:t xml:space="preserve"> visit Letchworth</w:t>
      </w:r>
      <w:r w:rsidR="001843FC" w:rsidRPr="000218B9">
        <w:rPr>
          <w:sz w:val="24"/>
          <w:szCs w:val="24"/>
        </w:rPr>
        <w:t xml:space="preserve">.  </w:t>
      </w:r>
      <w:r w:rsidR="00905913" w:rsidRPr="000218B9">
        <w:rPr>
          <w:sz w:val="24"/>
          <w:szCs w:val="24"/>
          <w:highlight w:val="yellow"/>
        </w:rPr>
        <w:t>[SLIDE 10]</w:t>
      </w:r>
      <w:r w:rsidR="00905913" w:rsidRPr="000218B9">
        <w:rPr>
          <w:sz w:val="24"/>
          <w:szCs w:val="24"/>
        </w:rPr>
        <w:t xml:space="preserve">   </w:t>
      </w:r>
      <w:r w:rsidR="001843FC" w:rsidRPr="000218B9">
        <w:rPr>
          <w:sz w:val="24"/>
          <w:szCs w:val="24"/>
        </w:rPr>
        <w:t>F</w:t>
      </w:r>
      <w:r w:rsidR="0017701B" w:rsidRPr="000218B9">
        <w:rPr>
          <w:sz w:val="24"/>
          <w:szCs w:val="24"/>
        </w:rPr>
        <w:t>rom the early days of the Garden City’s existence</w:t>
      </w:r>
      <w:r w:rsidR="001843FC" w:rsidRPr="000218B9">
        <w:rPr>
          <w:sz w:val="24"/>
          <w:szCs w:val="24"/>
        </w:rPr>
        <w:t>,</w:t>
      </w:r>
      <w:r w:rsidR="0017701B" w:rsidRPr="000218B9">
        <w:rPr>
          <w:sz w:val="24"/>
          <w:szCs w:val="24"/>
        </w:rPr>
        <w:t xml:space="preserve"> it was the d</w:t>
      </w:r>
      <w:r w:rsidR="00C10921" w:rsidRPr="000218B9">
        <w:rPr>
          <w:sz w:val="24"/>
          <w:szCs w:val="24"/>
        </w:rPr>
        <w:t xml:space="preserve">welling place of Fanny </w:t>
      </w:r>
      <w:proofErr w:type="spellStart"/>
      <w:r w:rsidR="00C10921" w:rsidRPr="000218B9">
        <w:rPr>
          <w:sz w:val="24"/>
          <w:szCs w:val="24"/>
        </w:rPr>
        <w:t>Stepniak</w:t>
      </w:r>
      <w:proofErr w:type="spellEnd"/>
      <w:r w:rsidR="007A5B05" w:rsidRPr="000218B9">
        <w:rPr>
          <w:sz w:val="24"/>
          <w:szCs w:val="24"/>
        </w:rPr>
        <w:t>,</w:t>
      </w:r>
      <w:r w:rsidR="006F4DF0" w:rsidRPr="000218B9">
        <w:rPr>
          <w:rStyle w:val="FootnoteReference"/>
          <w:sz w:val="24"/>
          <w:szCs w:val="24"/>
        </w:rPr>
        <w:footnoteReference w:id="25"/>
      </w:r>
      <w:r w:rsidR="007A5B05" w:rsidRPr="000218B9">
        <w:rPr>
          <w:sz w:val="24"/>
          <w:szCs w:val="24"/>
        </w:rPr>
        <w:t xml:space="preserve"> who may have lived at no.85 </w:t>
      </w:r>
      <w:r w:rsidR="007A5B05" w:rsidRPr="000218B9">
        <w:rPr>
          <w:sz w:val="24"/>
          <w:szCs w:val="24"/>
        </w:rPr>
        <w:lastRenderedPageBreak/>
        <w:t xml:space="preserve">Norton Road in a </w:t>
      </w:r>
      <w:r w:rsidR="00274B05" w:rsidRPr="000218B9">
        <w:rPr>
          <w:sz w:val="24"/>
          <w:szCs w:val="24"/>
        </w:rPr>
        <w:t>‘</w:t>
      </w:r>
      <w:r w:rsidR="007A5B05" w:rsidRPr="000218B9">
        <w:rPr>
          <w:sz w:val="24"/>
          <w:szCs w:val="24"/>
        </w:rPr>
        <w:t>cottage</w:t>
      </w:r>
      <w:r w:rsidR="00274B05" w:rsidRPr="000218B9">
        <w:rPr>
          <w:sz w:val="24"/>
          <w:szCs w:val="24"/>
        </w:rPr>
        <w:t>’</w:t>
      </w:r>
      <w:r w:rsidR="007A5B05" w:rsidRPr="000218B9">
        <w:rPr>
          <w:sz w:val="24"/>
          <w:szCs w:val="24"/>
        </w:rPr>
        <w:t xml:space="preserve"> named ‘</w:t>
      </w:r>
      <w:proofErr w:type="spellStart"/>
      <w:r w:rsidR="007A5B05" w:rsidRPr="000218B9">
        <w:rPr>
          <w:sz w:val="24"/>
          <w:szCs w:val="24"/>
        </w:rPr>
        <w:t>Oblomova</w:t>
      </w:r>
      <w:proofErr w:type="spellEnd"/>
      <w:r w:rsidR="007A5B05" w:rsidRPr="000218B9">
        <w:rPr>
          <w:sz w:val="24"/>
          <w:szCs w:val="24"/>
        </w:rPr>
        <w:t>’</w:t>
      </w:r>
      <w:r w:rsidR="00C10921" w:rsidRPr="000218B9">
        <w:rPr>
          <w:sz w:val="24"/>
          <w:szCs w:val="24"/>
        </w:rPr>
        <w:t>.</w:t>
      </w:r>
      <w:r w:rsidR="006F4DF0" w:rsidRPr="000218B9">
        <w:rPr>
          <w:rStyle w:val="FootnoteReference"/>
          <w:sz w:val="24"/>
          <w:szCs w:val="24"/>
        </w:rPr>
        <w:footnoteReference w:id="26"/>
      </w:r>
      <w:r w:rsidR="00C10921" w:rsidRPr="000218B9">
        <w:rPr>
          <w:sz w:val="24"/>
          <w:szCs w:val="24"/>
        </w:rPr>
        <w:t xml:space="preserve">  </w:t>
      </w:r>
      <w:r w:rsidR="00905913" w:rsidRPr="000218B9">
        <w:rPr>
          <w:b/>
          <w:sz w:val="24"/>
          <w:szCs w:val="24"/>
          <w:highlight w:val="yellow"/>
        </w:rPr>
        <w:t>[SLIDE 11]</w:t>
      </w:r>
      <w:r w:rsidR="00905913" w:rsidRPr="000218B9">
        <w:rPr>
          <w:b/>
          <w:sz w:val="24"/>
          <w:szCs w:val="24"/>
        </w:rPr>
        <w:t xml:space="preserve">   </w:t>
      </w:r>
      <w:r w:rsidR="00C10921" w:rsidRPr="000218B9">
        <w:rPr>
          <w:sz w:val="24"/>
          <w:szCs w:val="24"/>
        </w:rPr>
        <w:t>Fanny was the widow</w:t>
      </w:r>
      <w:r w:rsidR="0017701B" w:rsidRPr="000218B9">
        <w:rPr>
          <w:sz w:val="24"/>
          <w:szCs w:val="24"/>
        </w:rPr>
        <w:t xml:space="preserve"> of the </w:t>
      </w:r>
      <w:r w:rsidR="001843FC" w:rsidRPr="000218B9">
        <w:rPr>
          <w:sz w:val="24"/>
          <w:szCs w:val="24"/>
        </w:rPr>
        <w:t xml:space="preserve">Ukrainian </w:t>
      </w:r>
      <w:r w:rsidR="0017701B" w:rsidRPr="000218B9">
        <w:rPr>
          <w:sz w:val="24"/>
          <w:szCs w:val="24"/>
        </w:rPr>
        <w:t>Nihilist</w:t>
      </w:r>
      <w:r w:rsidR="001843FC" w:rsidRPr="000218B9">
        <w:rPr>
          <w:sz w:val="24"/>
          <w:szCs w:val="24"/>
        </w:rPr>
        <w:t>,</w:t>
      </w:r>
      <w:r w:rsidR="0017701B" w:rsidRPr="000218B9">
        <w:rPr>
          <w:sz w:val="24"/>
          <w:szCs w:val="24"/>
        </w:rPr>
        <w:t xml:space="preserve"> Sergei </w:t>
      </w:r>
      <w:proofErr w:type="spellStart"/>
      <w:r w:rsidR="0017701B" w:rsidRPr="000218B9">
        <w:rPr>
          <w:sz w:val="24"/>
          <w:szCs w:val="24"/>
        </w:rPr>
        <w:t>Stepniak</w:t>
      </w:r>
      <w:proofErr w:type="spellEnd"/>
      <w:r w:rsidR="001843FC" w:rsidRPr="000218B9">
        <w:rPr>
          <w:sz w:val="24"/>
          <w:szCs w:val="24"/>
        </w:rPr>
        <w:t xml:space="preserve"> (aka </w:t>
      </w:r>
      <w:r w:rsidR="00D53183" w:rsidRPr="000218B9">
        <w:rPr>
          <w:sz w:val="24"/>
          <w:szCs w:val="24"/>
        </w:rPr>
        <w:t xml:space="preserve">Sergei </w:t>
      </w:r>
      <w:proofErr w:type="spellStart"/>
      <w:r w:rsidR="00922A19" w:rsidRPr="000218B9">
        <w:rPr>
          <w:sz w:val="24"/>
          <w:szCs w:val="24"/>
        </w:rPr>
        <w:t>Kravchinskii</w:t>
      </w:r>
      <w:proofErr w:type="spellEnd"/>
      <w:r w:rsidR="001843FC" w:rsidRPr="000218B9">
        <w:rPr>
          <w:sz w:val="24"/>
          <w:szCs w:val="24"/>
        </w:rPr>
        <w:t>) who had fled Russia</w:t>
      </w:r>
      <w:r w:rsidR="00A50C24" w:rsidRPr="000218B9">
        <w:rPr>
          <w:sz w:val="24"/>
          <w:szCs w:val="24"/>
        </w:rPr>
        <w:t xml:space="preserve"> in</w:t>
      </w:r>
      <w:r w:rsidR="006D53B6" w:rsidRPr="000218B9">
        <w:rPr>
          <w:sz w:val="24"/>
          <w:szCs w:val="24"/>
        </w:rPr>
        <w:t xml:space="preserve"> </w:t>
      </w:r>
      <w:r w:rsidR="00A50C24" w:rsidRPr="000218B9">
        <w:rPr>
          <w:sz w:val="24"/>
          <w:szCs w:val="24"/>
        </w:rPr>
        <w:t>1878 after assassinating</w:t>
      </w:r>
      <w:r w:rsidR="001843FC" w:rsidRPr="000218B9">
        <w:rPr>
          <w:sz w:val="24"/>
          <w:szCs w:val="24"/>
        </w:rPr>
        <w:t xml:space="preserve"> Nikolai </w:t>
      </w:r>
      <w:proofErr w:type="spellStart"/>
      <w:r w:rsidR="001843FC" w:rsidRPr="000218B9">
        <w:rPr>
          <w:sz w:val="24"/>
          <w:szCs w:val="24"/>
        </w:rPr>
        <w:t>Mezentsov</w:t>
      </w:r>
      <w:proofErr w:type="spellEnd"/>
      <w:r w:rsidR="00050AA2" w:rsidRPr="000218B9">
        <w:rPr>
          <w:sz w:val="24"/>
          <w:szCs w:val="24"/>
        </w:rPr>
        <w:t>,</w:t>
      </w:r>
      <w:r w:rsidR="001843FC" w:rsidRPr="000218B9">
        <w:rPr>
          <w:sz w:val="24"/>
          <w:szCs w:val="24"/>
        </w:rPr>
        <w:t xml:space="preserve"> the head of the tsarist secret police</w:t>
      </w:r>
      <w:r w:rsidR="00A50C24" w:rsidRPr="000218B9">
        <w:rPr>
          <w:sz w:val="24"/>
          <w:szCs w:val="24"/>
        </w:rPr>
        <w:t xml:space="preserve">, in retribution for the execution of the revolutionary I.M. </w:t>
      </w:r>
      <w:proofErr w:type="spellStart"/>
      <w:r w:rsidR="00A50C24" w:rsidRPr="000218B9">
        <w:rPr>
          <w:sz w:val="24"/>
          <w:szCs w:val="24"/>
        </w:rPr>
        <w:t>Koval’skii</w:t>
      </w:r>
      <w:proofErr w:type="spellEnd"/>
      <w:r w:rsidR="001843FC" w:rsidRPr="000218B9">
        <w:rPr>
          <w:sz w:val="24"/>
          <w:szCs w:val="24"/>
        </w:rPr>
        <w:t>.</w:t>
      </w:r>
      <w:r w:rsidR="00A50C24" w:rsidRPr="000218B9">
        <w:rPr>
          <w:rStyle w:val="FootnoteReference"/>
          <w:sz w:val="24"/>
          <w:szCs w:val="24"/>
        </w:rPr>
        <w:footnoteReference w:id="27"/>
      </w:r>
      <w:r w:rsidR="001843FC" w:rsidRPr="000218B9">
        <w:rPr>
          <w:sz w:val="24"/>
          <w:szCs w:val="24"/>
        </w:rPr>
        <w:t xml:space="preserve">  The </w:t>
      </w:r>
      <w:proofErr w:type="spellStart"/>
      <w:r w:rsidR="001843FC" w:rsidRPr="000218B9">
        <w:rPr>
          <w:sz w:val="24"/>
          <w:szCs w:val="24"/>
        </w:rPr>
        <w:t>Stepniaks</w:t>
      </w:r>
      <w:proofErr w:type="spellEnd"/>
      <w:r w:rsidR="001843FC" w:rsidRPr="000218B9">
        <w:rPr>
          <w:sz w:val="24"/>
          <w:szCs w:val="24"/>
        </w:rPr>
        <w:t xml:space="preserve"> arri</w:t>
      </w:r>
      <w:r w:rsidR="00D16AAB" w:rsidRPr="000218B9">
        <w:rPr>
          <w:sz w:val="24"/>
          <w:szCs w:val="24"/>
        </w:rPr>
        <w:t>ved in England in 1884, where Sergei</w:t>
      </w:r>
      <w:r w:rsidR="001843FC" w:rsidRPr="000218B9">
        <w:rPr>
          <w:sz w:val="24"/>
          <w:szCs w:val="24"/>
        </w:rPr>
        <w:t xml:space="preserve"> made a living from writing fictionalised accounts of revolutionaries and revolutionary activities.</w:t>
      </w:r>
      <w:r w:rsidR="00D36575" w:rsidRPr="000218B9">
        <w:rPr>
          <w:rStyle w:val="FootnoteReference"/>
          <w:sz w:val="24"/>
          <w:szCs w:val="24"/>
        </w:rPr>
        <w:t xml:space="preserve"> </w:t>
      </w:r>
      <w:r w:rsidR="00D36575" w:rsidRPr="000218B9">
        <w:rPr>
          <w:rStyle w:val="FootnoteReference"/>
          <w:sz w:val="24"/>
          <w:szCs w:val="24"/>
        </w:rPr>
        <w:footnoteReference w:id="28"/>
      </w:r>
      <w:r w:rsidR="00D36575" w:rsidRPr="000218B9">
        <w:rPr>
          <w:sz w:val="24"/>
          <w:szCs w:val="24"/>
        </w:rPr>
        <w:t xml:space="preserve">  </w:t>
      </w:r>
      <w:r w:rsidR="001843FC" w:rsidRPr="000218B9">
        <w:rPr>
          <w:sz w:val="24"/>
          <w:szCs w:val="24"/>
        </w:rPr>
        <w:t>Both Fanny</w:t>
      </w:r>
      <w:r w:rsidR="00C10921" w:rsidRPr="000218B9">
        <w:rPr>
          <w:sz w:val="24"/>
          <w:szCs w:val="24"/>
        </w:rPr>
        <w:t xml:space="preserve"> and her husband had been great friends with the </w:t>
      </w:r>
      <w:proofErr w:type="spellStart"/>
      <w:r w:rsidR="00C10921" w:rsidRPr="000218B9">
        <w:rPr>
          <w:sz w:val="24"/>
          <w:szCs w:val="24"/>
        </w:rPr>
        <w:t>Kropotkins</w:t>
      </w:r>
      <w:proofErr w:type="spellEnd"/>
      <w:r w:rsidR="00C10921" w:rsidRPr="000218B9">
        <w:rPr>
          <w:sz w:val="24"/>
          <w:szCs w:val="24"/>
        </w:rPr>
        <w:t>.  Indeed</w:t>
      </w:r>
      <w:r w:rsidR="00D36575" w:rsidRPr="000218B9">
        <w:rPr>
          <w:sz w:val="24"/>
          <w:szCs w:val="24"/>
        </w:rPr>
        <w:t>,</w:t>
      </w:r>
      <w:r w:rsidR="00C10921" w:rsidRPr="000218B9">
        <w:rPr>
          <w:sz w:val="24"/>
          <w:szCs w:val="24"/>
        </w:rPr>
        <w:t xml:space="preserve"> </w:t>
      </w:r>
      <w:r w:rsidR="001843FC" w:rsidRPr="000218B9">
        <w:rPr>
          <w:sz w:val="24"/>
          <w:szCs w:val="24"/>
        </w:rPr>
        <w:t xml:space="preserve">when </w:t>
      </w:r>
      <w:r w:rsidR="00C10921" w:rsidRPr="000218B9">
        <w:rPr>
          <w:sz w:val="24"/>
          <w:szCs w:val="24"/>
        </w:rPr>
        <w:t xml:space="preserve">the </w:t>
      </w:r>
      <w:proofErr w:type="spellStart"/>
      <w:r w:rsidR="00C10921" w:rsidRPr="000218B9">
        <w:rPr>
          <w:sz w:val="24"/>
          <w:szCs w:val="24"/>
        </w:rPr>
        <w:t>Kropotkins</w:t>
      </w:r>
      <w:proofErr w:type="spellEnd"/>
      <w:r w:rsidR="00D36575" w:rsidRPr="000218B9">
        <w:rPr>
          <w:sz w:val="24"/>
          <w:szCs w:val="24"/>
        </w:rPr>
        <w:t xml:space="preserve"> arrived in England in 1886, they stayed with the </w:t>
      </w:r>
      <w:proofErr w:type="spellStart"/>
      <w:r w:rsidR="00D36575" w:rsidRPr="000218B9">
        <w:rPr>
          <w:sz w:val="24"/>
          <w:szCs w:val="24"/>
        </w:rPr>
        <w:t>Stepniaks</w:t>
      </w:r>
      <w:proofErr w:type="spellEnd"/>
      <w:r w:rsidR="00C10921" w:rsidRPr="000218B9">
        <w:rPr>
          <w:sz w:val="24"/>
          <w:szCs w:val="24"/>
        </w:rPr>
        <w:t xml:space="preserve"> in St John’</w:t>
      </w:r>
      <w:r w:rsidR="00D36575" w:rsidRPr="000218B9">
        <w:rPr>
          <w:sz w:val="24"/>
          <w:szCs w:val="24"/>
        </w:rPr>
        <w:t xml:space="preserve">s Wood, </w:t>
      </w:r>
      <w:r w:rsidR="00C10921" w:rsidRPr="000218B9">
        <w:rPr>
          <w:sz w:val="24"/>
          <w:szCs w:val="24"/>
        </w:rPr>
        <w:t>while looking for</w:t>
      </w:r>
      <w:r w:rsidR="00D36575" w:rsidRPr="000218B9">
        <w:rPr>
          <w:sz w:val="24"/>
          <w:szCs w:val="24"/>
        </w:rPr>
        <w:t xml:space="preserve"> a house to rent</w:t>
      </w:r>
      <w:r w:rsidR="00C10921" w:rsidRPr="000218B9">
        <w:rPr>
          <w:sz w:val="24"/>
          <w:szCs w:val="24"/>
        </w:rPr>
        <w:t>.</w:t>
      </w:r>
      <w:r w:rsidR="00C10921" w:rsidRPr="000218B9">
        <w:rPr>
          <w:rStyle w:val="FootnoteReference"/>
          <w:sz w:val="24"/>
          <w:szCs w:val="24"/>
        </w:rPr>
        <w:footnoteReference w:id="29"/>
      </w:r>
      <w:r w:rsidR="00C10921" w:rsidRPr="000218B9">
        <w:rPr>
          <w:sz w:val="24"/>
          <w:szCs w:val="24"/>
        </w:rPr>
        <w:t xml:space="preserve"> </w:t>
      </w:r>
      <w:r w:rsidR="00D16AAB" w:rsidRPr="000218B9">
        <w:rPr>
          <w:sz w:val="24"/>
          <w:szCs w:val="24"/>
        </w:rPr>
        <w:t xml:space="preserve"> </w:t>
      </w:r>
      <w:r w:rsidR="00D36575" w:rsidRPr="000218B9">
        <w:rPr>
          <w:sz w:val="24"/>
          <w:szCs w:val="24"/>
        </w:rPr>
        <w:t xml:space="preserve">Then, after </w:t>
      </w:r>
      <w:proofErr w:type="spellStart"/>
      <w:r w:rsidR="00D36575" w:rsidRPr="000218B9">
        <w:rPr>
          <w:sz w:val="24"/>
          <w:szCs w:val="24"/>
        </w:rPr>
        <w:t>Stepniak</w:t>
      </w:r>
      <w:proofErr w:type="spellEnd"/>
      <w:r w:rsidR="00D36575" w:rsidRPr="000218B9">
        <w:rPr>
          <w:sz w:val="24"/>
          <w:szCs w:val="24"/>
        </w:rPr>
        <w:t xml:space="preserve"> was run over by a train at a level crossing in Chiswick</w:t>
      </w:r>
      <w:r w:rsidR="00DB261C" w:rsidRPr="000218B9">
        <w:rPr>
          <w:sz w:val="24"/>
          <w:szCs w:val="24"/>
        </w:rPr>
        <w:t xml:space="preserve"> in 1896, Kropotkin gave a</w:t>
      </w:r>
      <w:r w:rsidR="00C610AE" w:rsidRPr="000218B9">
        <w:rPr>
          <w:sz w:val="24"/>
          <w:szCs w:val="24"/>
        </w:rPr>
        <w:t xml:space="preserve"> </w:t>
      </w:r>
      <w:r w:rsidR="00327573" w:rsidRPr="000218B9">
        <w:rPr>
          <w:sz w:val="24"/>
          <w:szCs w:val="24"/>
        </w:rPr>
        <w:t xml:space="preserve">profoundly </w:t>
      </w:r>
      <w:r w:rsidR="00D36575" w:rsidRPr="000218B9">
        <w:rPr>
          <w:sz w:val="24"/>
          <w:szCs w:val="24"/>
        </w:rPr>
        <w:t>moving funeral speech about his friend</w:t>
      </w:r>
      <w:r w:rsidR="00DB261C" w:rsidRPr="000218B9">
        <w:rPr>
          <w:sz w:val="24"/>
          <w:szCs w:val="24"/>
        </w:rPr>
        <w:t xml:space="preserve"> and was apparently very saddened for a long while afterwards</w:t>
      </w:r>
      <w:r w:rsidR="00D36575" w:rsidRPr="000218B9">
        <w:rPr>
          <w:sz w:val="24"/>
          <w:szCs w:val="24"/>
        </w:rPr>
        <w:t>.</w:t>
      </w:r>
      <w:r w:rsidR="00D36575" w:rsidRPr="000218B9">
        <w:rPr>
          <w:rStyle w:val="FootnoteReference"/>
          <w:sz w:val="24"/>
          <w:szCs w:val="24"/>
        </w:rPr>
        <w:footnoteReference w:id="30"/>
      </w:r>
      <w:r w:rsidR="007A5B05" w:rsidRPr="000218B9">
        <w:rPr>
          <w:sz w:val="24"/>
          <w:szCs w:val="24"/>
        </w:rPr>
        <w:t xml:space="preserve">  </w:t>
      </w:r>
      <w:r w:rsidR="00A47C55" w:rsidRPr="000218B9">
        <w:rPr>
          <w:sz w:val="24"/>
          <w:szCs w:val="24"/>
        </w:rPr>
        <w:t xml:space="preserve">Because of Kropotkin’s fondness for the </w:t>
      </w:r>
      <w:proofErr w:type="spellStart"/>
      <w:r w:rsidR="00A47C55" w:rsidRPr="000218B9">
        <w:rPr>
          <w:sz w:val="24"/>
          <w:szCs w:val="24"/>
        </w:rPr>
        <w:t>Stepniaks</w:t>
      </w:r>
      <w:proofErr w:type="spellEnd"/>
      <w:r w:rsidR="00A47C55" w:rsidRPr="000218B9">
        <w:rPr>
          <w:sz w:val="24"/>
          <w:szCs w:val="24"/>
        </w:rPr>
        <w:t>, it seems inconceivable that he would not</w:t>
      </w:r>
      <w:r w:rsidR="00196423" w:rsidRPr="000218B9">
        <w:rPr>
          <w:sz w:val="24"/>
          <w:szCs w:val="24"/>
        </w:rPr>
        <w:t xml:space="preserve"> have visited Fanny</w:t>
      </w:r>
      <w:r w:rsidR="00A47C55" w:rsidRPr="000218B9">
        <w:rPr>
          <w:sz w:val="24"/>
          <w:szCs w:val="24"/>
        </w:rPr>
        <w:t xml:space="preserve"> after she had moved to Letchworth, at least once</w:t>
      </w:r>
      <w:r w:rsidR="00196423" w:rsidRPr="000218B9">
        <w:rPr>
          <w:sz w:val="24"/>
          <w:szCs w:val="24"/>
        </w:rPr>
        <w:t>,</w:t>
      </w:r>
      <w:r w:rsidR="00A47C55" w:rsidRPr="000218B9">
        <w:rPr>
          <w:sz w:val="24"/>
          <w:szCs w:val="24"/>
        </w:rPr>
        <w:t xml:space="preserve"> but probably several times</w:t>
      </w:r>
      <w:r w:rsidR="00196423" w:rsidRPr="000218B9">
        <w:rPr>
          <w:sz w:val="24"/>
          <w:szCs w:val="24"/>
        </w:rPr>
        <w:t xml:space="preserve"> before he left Britain</w:t>
      </w:r>
      <w:r w:rsidR="002F63E9" w:rsidRPr="000218B9">
        <w:rPr>
          <w:sz w:val="24"/>
          <w:szCs w:val="24"/>
        </w:rPr>
        <w:t xml:space="preserve"> for ever</w:t>
      </w:r>
      <w:r w:rsidR="008F1A39" w:rsidRPr="000218B9">
        <w:rPr>
          <w:sz w:val="24"/>
          <w:szCs w:val="24"/>
        </w:rPr>
        <w:t xml:space="preserve"> in 1917</w:t>
      </w:r>
      <w:r w:rsidR="00A47C55" w:rsidRPr="000218B9">
        <w:rPr>
          <w:sz w:val="24"/>
          <w:szCs w:val="24"/>
        </w:rPr>
        <w:t>.</w:t>
      </w:r>
      <w:r w:rsidR="008F1A39" w:rsidRPr="000218B9">
        <w:rPr>
          <w:rStyle w:val="FootnoteReference"/>
          <w:sz w:val="24"/>
          <w:szCs w:val="24"/>
        </w:rPr>
        <w:footnoteReference w:id="31"/>
      </w:r>
      <w:r w:rsidR="00080EE5" w:rsidRPr="000218B9">
        <w:rPr>
          <w:sz w:val="24"/>
          <w:szCs w:val="24"/>
        </w:rPr>
        <w:t xml:space="preserve">  </w:t>
      </w:r>
      <w:r w:rsidR="0010665C" w:rsidRPr="000218B9">
        <w:rPr>
          <w:rStyle w:val="FootnoteReference"/>
          <w:sz w:val="24"/>
          <w:szCs w:val="24"/>
        </w:rPr>
        <w:footnoteReference w:id="32"/>
      </w:r>
      <w:r w:rsidR="0010665C" w:rsidRPr="000218B9">
        <w:rPr>
          <w:sz w:val="24"/>
          <w:szCs w:val="24"/>
        </w:rPr>
        <w:t xml:space="preserve"> </w:t>
      </w:r>
      <w:r w:rsidR="001A6685" w:rsidRPr="000218B9">
        <w:rPr>
          <w:sz w:val="24"/>
          <w:szCs w:val="24"/>
        </w:rPr>
        <w:t xml:space="preserve"> </w:t>
      </w:r>
      <w:r w:rsidR="00BC6967" w:rsidRPr="000218B9">
        <w:rPr>
          <w:rStyle w:val="FootnoteReference"/>
          <w:sz w:val="24"/>
          <w:szCs w:val="24"/>
        </w:rPr>
        <w:footnoteReference w:id="33"/>
      </w:r>
      <w:r w:rsidR="0010665C" w:rsidRPr="000218B9">
        <w:rPr>
          <w:sz w:val="24"/>
          <w:szCs w:val="24"/>
        </w:rPr>
        <w:t xml:space="preserve"> </w:t>
      </w:r>
      <w:r w:rsidR="002C3F2C" w:rsidRPr="000218B9">
        <w:rPr>
          <w:sz w:val="24"/>
          <w:szCs w:val="24"/>
        </w:rPr>
        <w:t xml:space="preserve"> </w:t>
      </w:r>
    </w:p>
    <w:p w:rsidR="00196423" w:rsidRPr="000218B9" w:rsidRDefault="009A6C66" w:rsidP="00834E70">
      <w:pPr>
        <w:spacing w:line="360" w:lineRule="auto"/>
        <w:rPr>
          <w:b/>
          <w:sz w:val="24"/>
          <w:szCs w:val="24"/>
        </w:rPr>
      </w:pPr>
      <w:r w:rsidRPr="000218B9">
        <w:rPr>
          <w:b/>
          <w:sz w:val="24"/>
          <w:szCs w:val="24"/>
          <w:highlight w:val="yellow"/>
        </w:rPr>
        <w:lastRenderedPageBreak/>
        <w:t>[SLIDE</w:t>
      </w:r>
      <w:r w:rsidR="00905913" w:rsidRPr="000218B9">
        <w:rPr>
          <w:b/>
          <w:sz w:val="24"/>
          <w:szCs w:val="24"/>
          <w:highlight w:val="yellow"/>
        </w:rPr>
        <w:t xml:space="preserve"> 13</w:t>
      </w:r>
      <w:r w:rsidRPr="000218B9">
        <w:rPr>
          <w:b/>
          <w:sz w:val="24"/>
          <w:szCs w:val="24"/>
          <w:highlight w:val="yellow"/>
        </w:rPr>
        <w:t>]</w:t>
      </w:r>
      <w:r w:rsidRPr="000218B9">
        <w:rPr>
          <w:b/>
          <w:sz w:val="24"/>
          <w:szCs w:val="24"/>
        </w:rPr>
        <w:t xml:space="preserve">  </w:t>
      </w:r>
      <w:r w:rsidR="00196423" w:rsidRPr="000218B9">
        <w:rPr>
          <w:b/>
          <w:sz w:val="24"/>
          <w:szCs w:val="24"/>
        </w:rPr>
        <w:t>Conclusion</w:t>
      </w:r>
    </w:p>
    <w:p w:rsidR="00911812" w:rsidRPr="000218B9" w:rsidRDefault="00A84A9B" w:rsidP="00CA5DB2">
      <w:pPr>
        <w:spacing w:line="360" w:lineRule="auto"/>
        <w:rPr>
          <w:sz w:val="24"/>
          <w:szCs w:val="24"/>
        </w:rPr>
      </w:pPr>
      <w:r w:rsidRPr="000218B9">
        <w:rPr>
          <w:sz w:val="24"/>
          <w:szCs w:val="24"/>
        </w:rPr>
        <w:t>To conclude b</w:t>
      </w:r>
      <w:r w:rsidR="0065748A" w:rsidRPr="000218B9">
        <w:rPr>
          <w:sz w:val="24"/>
          <w:szCs w:val="24"/>
        </w:rPr>
        <w:t>riefly, w</w:t>
      </w:r>
      <w:r w:rsidR="007A00E2" w:rsidRPr="000218B9">
        <w:rPr>
          <w:sz w:val="24"/>
          <w:szCs w:val="24"/>
        </w:rPr>
        <w:t>hat is importa</w:t>
      </w:r>
      <w:r w:rsidR="0065748A" w:rsidRPr="000218B9">
        <w:rPr>
          <w:sz w:val="24"/>
          <w:szCs w:val="24"/>
        </w:rPr>
        <w:t>nt to understand, regarding</w:t>
      </w:r>
      <w:r w:rsidR="007A00E2" w:rsidRPr="000218B9">
        <w:rPr>
          <w:sz w:val="24"/>
          <w:szCs w:val="24"/>
        </w:rPr>
        <w:t xml:space="preserve"> Howard’s idea that the </w:t>
      </w:r>
      <w:r w:rsidR="00A16215" w:rsidRPr="000218B9">
        <w:rPr>
          <w:sz w:val="24"/>
          <w:szCs w:val="24"/>
        </w:rPr>
        <w:t xml:space="preserve">Russian </w:t>
      </w:r>
      <w:r w:rsidR="007A00E2" w:rsidRPr="000218B9">
        <w:rPr>
          <w:sz w:val="24"/>
          <w:szCs w:val="24"/>
        </w:rPr>
        <w:t>anarchist Prince Peter Kropotkin – rather than himself – could have been the founder of the Garden City</w:t>
      </w:r>
      <w:r w:rsidR="00A16215" w:rsidRPr="000218B9">
        <w:rPr>
          <w:sz w:val="24"/>
          <w:szCs w:val="24"/>
        </w:rPr>
        <w:t xml:space="preserve"> idea</w:t>
      </w:r>
      <w:r w:rsidR="002F37FE" w:rsidRPr="000218B9">
        <w:rPr>
          <w:sz w:val="24"/>
          <w:szCs w:val="24"/>
        </w:rPr>
        <w:t>,</w:t>
      </w:r>
      <w:r w:rsidR="00192E61" w:rsidRPr="000218B9">
        <w:rPr>
          <w:sz w:val="24"/>
          <w:szCs w:val="24"/>
        </w:rPr>
        <w:t xml:space="preserve"> is t</w:t>
      </w:r>
      <w:r w:rsidR="0065748A" w:rsidRPr="000218B9">
        <w:rPr>
          <w:sz w:val="24"/>
          <w:szCs w:val="24"/>
        </w:rPr>
        <w:t>hat, at the time</w:t>
      </w:r>
      <w:r w:rsidR="00A16215" w:rsidRPr="000218B9">
        <w:rPr>
          <w:sz w:val="24"/>
          <w:szCs w:val="24"/>
        </w:rPr>
        <w:t xml:space="preserve"> </w:t>
      </w:r>
      <w:r w:rsidR="007A00E2" w:rsidRPr="000218B9">
        <w:rPr>
          <w:sz w:val="24"/>
          <w:szCs w:val="24"/>
        </w:rPr>
        <w:t>Kropotkin was perceived in Britain as a scholarly, scientific and Utopian writer</w:t>
      </w:r>
      <w:r w:rsidR="00190885" w:rsidRPr="000218B9">
        <w:rPr>
          <w:sz w:val="24"/>
          <w:szCs w:val="24"/>
        </w:rPr>
        <w:t xml:space="preserve">., rather than being identified with the </w:t>
      </w:r>
      <w:r w:rsidRPr="000218B9">
        <w:rPr>
          <w:sz w:val="24"/>
          <w:szCs w:val="24"/>
        </w:rPr>
        <w:t xml:space="preserve">currently mediated notion </w:t>
      </w:r>
      <w:r w:rsidR="00A16215" w:rsidRPr="000218B9">
        <w:rPr>
          <w:sz w:val="24"/>
          <w:szCs w:val="24"/>
        </w:rPr>
        <w:t>of t</w:t>
      </w:r>
      <w:r w:rsidRPr="000218B9">
        <w:rPr>
          <w:sz w:val="24"/>
          <w:szCs w:val="24"/>
        </w:rPr>
        <w:t>he a</w:t>
      </w:r>
      <w:r w:rsidR="00B17525" w:rsidRPr="000218B9">
        <w:rPr>
          <w:sz w:val="24"/>
          <w:szCs w:val="24"/>
        </w:rPr>
        <w:t>narchist as terrorist</w:t>
      </w:r>
      <w:r w:rsidR="00A16215" w:rsidRPr="000218B9">
        <w:rPr>
          <w:sz w:val="24"/>
          <w:szCs w:val="24"/>
        </w:rPr>
        <w:t xml:space="preserve">. </w:t>
      </w:r>
      <w:r w:rsidR="008E5BB0" w:rsidRPr="000218B9">
        <w:rPr>
          <w:sz w:val="24"/>
          <w:szCs w:val="24"/>
        </w:rPr>
        <w:t xml:space="preserve"> </w:t>
      </w:r>
      <w:r w:rsidR="00196423" w:rsidRPr="000218B9">
        <w:rPr>
          <w:sz w:val="24"/>
          <w:szCs w:val="24"/>
        </w:rPr>
        <w:t>Kr</w:t>
      </w:r>
      <w:r w:rsidR="000B3188" w:rsidRPr="000218B9">
        <w:rPr>
          <w:sz w:val="24"/>
          <w:szCs w:val="24"/>
        </w:rPr>
        <w:t>opotkin was</w:t>
      </w:r>
      <w:r w:rsidR="00B93364" w:rsidRPr="000218B9">
        <w:rPr>
          <w:sz w:val="24"/>
          <w:szCs w:val="24"/>
        </w:rPr>
        <w:t xml:space="preserve"> clearly</w:t>
      </w:r>
      <w:r w:rsidR="000B3188" w:rsidRPr="000218B9">
        <w:rPr>
          <w:sz w:val="24"/>
          <w:szCs w:val="24"/>
        </w:rPr>
        <w:t xml:space="preserve"> interested</w:t>
      </w:r>
      <w:r w:rsidR="00CA5DB2" w:rsidRPr="000218B9">
        <w:rPr>
          <w:sz w:val="24"/>
          <w:szCs w:val="24"/>
        </w:rPr>
        <w:t xml:space="preserve"> to some extent</w:t>
      </w:r>
      <w:r w:rsidR="000B3188" w:rsidRPr="000218B9">
        <w:rPr>
          <w:sz w:val="24"/>
          <w:szCs w:val="24"/>
        </w:rPr>
        <w:t xml:space="preserve"> </w:t>
      </w:r>
      <w:r w:rsidR="00196423" w:rsidRPr="000218B9">
        <w:rPr>
          <w:sz w:val="24"/>
          <w:szCs w:val="24"/>
        </w:rPr>
        <w:t>in the Letchworth Garden City experiment</w:t>
      </w:r>
      <w:r w:rsidR="008E5BB0" w:rsidRPr="000218B9">
        <w:rPr>
          <w:sz w:val="24"/>
          <w:szCs w:val="24"/>
        </w:rPr>
        <w:t>, because, while not</w:t>
      </w:r>
      <w:r w:rsidR="00CA502E" w:rsidRPr="000218B9">
        <w:rPr>
          <w:sz w:val="24"/>
          <w:szCs w:val="24"/>
        </w:rPr>
        <w:t xml:space="preserve"> a ‘socialis</w:t>
      </w:r>
      <w:r w:rsidR="00196423" w:rsidRPr="000218B9">
        <w:rPr>
          <w:sz w:val="24"/>
          <w:szCs w:val="24"/>
        </w:rPr>
        <w:t>t</w:t>
      </w:r>
      <w:r w:rsidR="00CA502E" w:rsidRPr="000218B9">
        <w:rPr>
          <w:sz w:val="24"/>
          <w:szCs w:val="24"/>
        </w:rPr>
        <w:t>’</w:t>
      </w:r>
      <w:r w:rsidR="00AF5005" w:rsidRPr="000218B9">
        <w:rPr>
          <w:sz w:val="24"/>
          <w:szCs w:val="24"/>
        </w:rPr>
        <w:t xml:space="preserve"> enterprise, it</w:t>
      </w:r>
      <w:r w:rsidR="00196423" w:rsidRPr="000218B9">
        <w:rPr>
          <w:sz w:val="24"/>
          <w:szCs w:val="24"/>
        </w:rPr>
        <w:t xml:space="preserve"> did incorporate some of the ideas central to his </w:t>
      </w:r>
      <w:r w:rsidR="00AF5005" w:rsidRPr="000218B9">
        <w:rPr>
          <w:sz w:val="24"/>
          <w:szCs w:val="24"/>
        </w:rPr>
        <w:t xml:space="preserve">anarchist, utopian </w:t>
      </w:r>
      <w:r w:rsidR="00196423" w:rsidRPr="000218B9">
        <w:rPr>
          <w:sz w:val="24"/>
          <w:szCs w:val="24"/>
        </w:rPr>
        <w:t>concerns</w:t>
      </w:r>
      <w:r w:rsidR="000173C3" w:rsidRPr="000218B9">
        <w:rPr>
          <w:sz w:val="24"/>
          <w:szCs w:val="24"/>
        </w:rPr>
        <w:t xml:space="preserve">, albeit on a larger scale </w:t>
      </w:r>
      <w:r w:rsidR="008E5BB0" w:rsidRPr="000218B9">
        <w:rPr>
          <w:sz w:val="24"/>
          <w:szCs w:val="24"/>
        </w:rPr>
        <w:t>and within a capitalist economic structure</w:t>
      </w:r>
      <w:r w:rsidR="00C168FE" w:rsidRPr="000218B9">
        <w:rPr>
          <w:sz w:val="24"/>
          <w:szCs w:val="24"/>
        </w:rPr>
        <w:t>.</w:t>
      </w:r>
      <w:r w:rsidR="00CB4282" w:rsidRPr="000218B9">
        <w:rPr>
          <w:rStyle w:val="FootnoteReference"/>
          <w:sz w:val="24"/>
          <w:szCs w:val="24"/>
        </w:rPr>
        <w:footnoteReference w:id="34"/>
      </w:r>
      <w:r w:rsidR="00C168FE" w:rsidRPr="000218B9">
        <w:rPr>
          <w:sz w:val="24"/>
          <w:szCs w:val="24"/>
        </w:rPr>
        <w:t xml:space="preserve">  </w:t>
      </w:r>
      <w:r w:rsidR="008E5BB0" w:rsidRPr="000218B9">
        <w:rPr>
          <w:sz w:val="24"/>
          <w:szCs w:val="24"/>
        </w:rPr>
        <w:t>W</w:t>
      </w:r>
      <w:r w:rsidR="00DB261C" w:rsidRPr="000218B9">
        <w:rPr>
          <w:sz w:val="24"/>
          <w:szCs w:val="24"/>
        </w:rPr>
        <w:t>hether Kropotkin actu</w:t>
      </w:r>
      <w:r w:rsidR="008E5BB0" w:rsidRPr="000218B9">
        <w:rPr>
          <w:sz w:val="24"/>
          <w:szCs w:val="24"/>
        </w:rPr>
        <w:t>ally visited Letchworth is as yet unknown, but</w:t>
      </w:r>
      <w:r w:rsidR="00DB261C" w:rsidRPr="000218B9">
        <w:rPr>
          <w:sz w:val="24"/>
          <w:szCs w:val="24"/>
        </w:rPr>
        <w:t xml:space="preserve"> seems highly likely, given t</w:t>
      </w:r>
      <w:r w:rsidR="008E5BB0" w:rsidRPr="000218B9">
        <w:rPr>
          <w:sz w:val="24"/>
          <w:szCs w:val="24"/>
        </w:rPr>
        <w:t xml:space="preserve">he cordial relationship with Fanny and Sergei </w:t>
      </w:r>
      <w:proofErr w:type="spellStart"/>
      <w:r w:rsidR="008E5BB0" w:rsidRPr="000218B9">
        <w:rPr>
          <w:sz w:val="24"/>
          <w:szCs w:val="24"/>
        </w:rPr>
        <w:t>Stepniak</w:t>
      </w:r>
      <w:proofErr w:type="spellEnd"/>
      <w:r w:rsidR="008E5BB0" w:rsidRPr="000218B9">
        <w:rPr>
          <w:sz w:val="24"/>
          <w:szCs w:val="24"/>
        </w:rPr>
        <w:t>, and Fanny’s move to Letchworth after Se</w:t>
      </w:r>
      <w:r w:rsidR="00911812" w:rsidRPr="000218B9">
        <w:rPr>
          <w:sz w:val="24"/>
          <w:szCs w:val="24"/>
        </w:rPr>
        <w:t>r</w:t>
      </w:r>
      <w:r w:rsidR="008E5BB0" w:rsidRPr="000218B9">
        <w:rPr>
          <w:sz w:val="24"/>
          <w:szCs w:val="24"/>
        </w:rPr>
        <w:t>gei’s death.</w:t>
      </w:r>
      <w:r w:rsidR="00DB261C" w:rsidRPr="000218B9">
        <w:rPr>
          <w:sz w:val="24"/>
          <w:szCs w:val="24"/>
        </w:rPr>
        <w:t xml:space="preserve"> </w:t>
      </w:r>
      <w:r w:rsidR="00911812" w:rsidRPr="000218B9">
        <w:rPr>
          <w:sz w:val="24"/>
          <w:szCs w:val="24"/>
        </w:rPr>
        <w:t xml:space="preserve"> </w:t>
      </w:r>
    </w:p>
    <w:p w:rsidR="003769B2" w:rsidRPr="000218B9" w:rsidRDefault="00911812" w:rsidP="00CA5DB2">
      <w:pPr>
        <w:spacing w:line="360" w:lineRule="auto"/>
        <w:rPr>
          <w:sz w:val="24"/>
          <w:szCs w:val="24"/>
        </w:rPr>
      </w:pPr>
      <w:r w:rsidRPr="000218B9">
        <w:rPr>
          <w:sz w:val="24"/>
          <w:szCs w:val="24"/>
        </w:rPr>
        <w:t>The outcome of this paper suggests</w:t>
      </w:r>
      <w:r w:rsidR="009D3B77" w:rsidRPr="000218B9">
        <w:rPr>
          <w:sz w:val="24"/>
          <w:szCs w:val="24"/>
        </w:rPr>
        <w:t xml:space="preserve"> that there are</w:t>
      </w:r>
      <w:r w:rsidR="000D6304" w:rsidRPr="000218B9">
        <w:rPr>
          <w:sz w:val="24"/>
          <w:szCs w:val="24"/>
        </w:rPr>
        <w:t xml:space="preserve"> potentially</w:t>
      </w:r>
      <w:r w:rsidR="0000607D" w:rsidRPr="000218B9">
        <w:rPr>
          <w:sz w:val="24"/>
          <w:szCs w:val="24"/>
        </w:rPr>
        <w:t>, historically</w:t>
      </w:r>
      <w:r w:rsidR="000D6304" w:rsidRPr="000218B9">
        <w:rPr>
          <w:sz w:val="24"/>
          <w:szCs w:val="24"/>
        </w:rPr>
        <w:t xml:space="preserve"> significant, but as yet unresolved</w:t>
      </w:r>
      <w:r w:rsidR="009D3B77" w:rsidRPr="000218B9">
        <w:rPr>
          <w:sz w:val="24"/>
          <w:szCs w:val="24"/>
        </w:rPr>
        <w:t xml:space="preserve"> issues around</w:t>
      </w:r>
      <w:r w:rsidR="000D6304" w:rsidRPr="000218B9">
        <w:rPr>
          <w:sz w:val="24"/>
          <w:szCs w:val="24"/>
        </w:rPr>
        <w:t xml:space="preserve"> the relationship/s between Howard’s ideal of the Garden City, its operation in the 19</w:t>
      </w:r>
      <w:r w:rsidR="00B17525" w:rsidRPr="000218B9">
        <w:rPr>
          <w:sz w:val="24"/>
          <w:szCs w:val="24"/>
        </w:rPr>
        <w:t>00s, and Kropotkin’s ideas.  These issues</w:t>
      </w:r>
      <w:r w:rsidR="009D3B77" w:rsidRPr="000218B9">
        <w:rPr>
          <w:sz w:val="24"/>
          <w:szCs w:val="24"/>
        </w:rPr>
        <w:t xml:space="preserve"> </w:t>
      </w:r>
      <w:r w:rsidR="00AF5005" w:rsidRPr="000218B9">
        <w:rPr>
          <w:sz w:val="24"/>
          <w:szCs w:val="24"/>
        </w:rPr>
        <w:t>might</w:t>
      </w:r>
      <w:r w:rsidR="00327573" w:rsidRPr="000218B9">
        <w:rPr>
          <w:sz w:val="24"/>
          <w:szCs w:val="24"/>
        </w:rPr>
        <w:t xml:space="preserve"> fruitfully</w:t>
      </w:r>
      <w:r w:rsidR="00AF5005" w:rsidRPr="000218B9">
        <w:rPr>
          <w:sz w:val="24"/>
          <w:szCs w:val="24"/>
        </w:rPr>
        <w:t xml:space="preserve"> form the basis of a future PhD</w:t>
      </w:r>
      <w:r w:rsidR="00327573" w:rsidRPr="000218B9">
        <w:rPr>
          <w:sz w:val="24"/>
          <w:szCs w:val="24"/>
        </w:rPr>
        <w:t xml:space="preserve"> project based on the Letchworth Heritage Collection,</w:t>
      </w:r>
      <w:r w:rsidR="00AF5005" w:rsidRPr="000218B9">
        <w:rPr>
          <w:sz w:val="24"/>
          <w:szCs w:val="24"/>
        </w:rPr>
        <w:t xml:space="preserve"> which I would be </w:t>
      </w:r>
      <w:r w:rsidR="002F37FE" w:rsidRPr="000218B9">
        <w:rPr>
          <w:sz w:val="24"/>
          <w:szCs w:val="24"/>
        </w:rPr>
        <w:t xml:space="preserve">absolutely </w:t>
      </w:r>
      <w:r w:rsidR="00AF5005" w:rsidRPr="000218B9">
        <w:rPr>
          <w:sz w:val="24"/>
          <w:szCs w:val="24"/>
        </w:rPr>
        <w:t>delighted to co-sup</w:t>
      </w:r>
      <w:r w:rsidR="003C4E53" w:rsidRPr="000218B9">
        <w:rPr>
          <w:sz w:val="24"/>
          <w:szCs w:val="24"/>
        </w:rPr>
        <w:t>ervise!</w:t>
      </w:r>
      <w:r w:rsidR="00CA5DB2" w:rsidRPr="000218B9">
        <w:rPr>
          <w:sz w:val="24"/>
          <w:szCs w:val="24"/>
        </w:rPr>
        <w:t xml:space="preserve"> </w:t>
      </w:r>
    </w:p>
    <w:p w:rsidR="00926562" w:rsidRPr="000218B9" w:rsidRDefault="00926562" w:rsidP="006F150F">
      <w:pPr>
        <w:spacing w:line="360" w:lineRule="auto"/>
        <w:rPr>
          <w:sz w:val="24"/>
          <w:szCs w:val="24"/>
        </w:rPr>
      </w:pPr>
    </w:p>
    <w:sectPr w:rsidR="00926562" w:rsidRPr="000218B9">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54A7" w:rsidRDefault="00C254A7" w:rsidP="00A13CE5">
      <w:pPr>
        <w:spacing w:after="0" w:line="240" w:lineRule="auto"/>
      </w:pPr>
      <w:r>
        <w:separator/>
      </w:r>
    </w:p>
  </w:endnote>
  <w:endnote w:type="continuationSeparator" w:id="0">
    <w:p w:rsidR="00C254A7" w:rsidRDefault="00C254A7" w:rsidP="00A13C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9278351"/>
      <w:docPartObj>
        <w:docPartGallery w:val="Page Numbers (Bottom of Page)"/>
        <w:docPartUnique/>
      </w:docPartObj>
    </w:sdtPr>
    <w:sdtEndPr>
      <w:rPr>
        <w:noProof/>
      </w:rPr>
    </w:sdtEndPr>
    <w:sdtContent>
      <w:p w:rsidR="00A13CE5" w:rsidRDefault="00A13CE5">
        <w:pPr>
          <w:pStyle w:val="Footer"/>
          <w:jc w:val="center"/>
        </w:pPr>
        <w:r>
          <w:fldChar w:fldCharType="begin"/>
        </w:r>
        <w:r>
          <w:instrText xml:space="preserve"> PAGE   \* MERGEFORMAT </w:instrText>
        </w:r>
        <w:r>
          <w:fldChar w:fldCharType="separate"/>
        </w:r>
        <w:r w:rsidR="00E710F3">
          <w:rPr>
            <w:noProof/>
          </w:rPr>
          <w:t>6</w:t>
        </w:r>
        <w:r>
          <w:rPr>
            <w:noProof/>
          </w:rPr>
          <w:fldChar w:fldCharType="end"/>
        </w:r>
      </w:p>
    </w:sdtContent>
  </w:sdt>
  <w:p w:rsidR="00A13CE5" w:rsidRDefault="00A13C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54A7" w:rsidRDefault="00C254A7" w:rsidP="00A13CE5">
      <w:pPr>
        <w:spacing w:after="0" w:line="240" w:lineRule="auto"/>
      </w:pPr>
      <w:r>
        <w:separator/>
      </w:r>
    </w:p>
  </w:footnote>
  <w:footnote w:type="continuationSeparator" w:id="0">
    <w:p w:rsidR="00C254A7" w:rsidRDefault="00C254A7" w:rsidP="00A13CE5">
      <w:pPr>
        <w:spacing w:after="0" w:line="240" w:lineRule="auto"/>
      </w:pPr>
      <w:r>
        <w:continuationSeparator/>
      </w:r>
    </w:p>
  </w:footnote>
  <w:footnote w:id="1">
    <w:p w:rsidR="00C43FEE" w:rsidRDefault="00C43FEE">
      <w:pPr>
        <w:pStyle w:val="FootnoteText"/>
      </w:pPr>
      <w:r>
        <w:rPr>
          <w:rStyle w:val="FootnoteReference"/>
        </w:rPr>
        <w:footnoteRef/>
      </w:r>
      <w:r>
        <w:t xml:space="preserve"> </w:t>
      </w:r>
      <w:r w:rsidR="007D0048" w:rsidRPr="007D0048">
        <w:t>Ebenezer Howard, as is well known, was the founder of the Garden City movement and the driving force behind the creation of Letchworth Garden City.</w:t>
      </w:r>
      <w:r w:rsidR="007D0048">
        <w:t xml:space="preserve">  The book was f</w:t>
      </w:r>
      <w:r w:rsidRPr="00753529">
        <w:t xml:space="preserve">irst </w:t>
      </w:r>
      <w:r w:rsidR="00753529">
        <w:t xml:space="preserve">published as: </w:t>
      </w:r>
      <w:r w:rsidRPr="00753529">
        <w:rPr>
          <w:i/>
        </w:rPr>
        <w:t xml:space="preserve">Tomorrow: A Peaceful Path to Real </w:t>
      </w:r>
      <w:proofErr w:type="gramStart"/>
      <w:r w:rsidRPr="00753529">
        <w:rPr>
          <w:i/>
        </w:rPr>
        <w:t>Reform</w:t>
      </w:r>
      <w:r w:rsidRPr="00753529">
        <w:t>,</w:t>
      </w:r>
      <w:proofErr w:type="gramEnd"/>
      <w:r w:rsidRPr="00753529">
        <w:t xml:space="preserve"> also published in </w:t>
      </w:r>
      <w:r w:rsidR="00753529" w:rsidRPr="00753529">
        <w:t>1898.</w:t>
      </w:r>
    </w:p>
  </w:footnote>
  <w:footnote w:id="2">
    <w:p w:rsidR="00153921" w:rsidRDefault="00153921">
      <w:pPr>
        <w:pStyle w:val="FootnoteText"/>
      </w:pPr>
      <w:r>
        <w:rPr>
          <w:rStyle w:val="FootnoteReference"/>
        </w:rPr>
        <w:footnoteRef/>
      </w:r>
      <w:r>
        <w:t xml:space="preserve"> Ebenezer Howard, </w:t>
      </w:r>
      <w:r w:rsidRPr="00153921">
        <w:rPr>
          <w:i/>
        </w:rPr>
        <w:t>Garden Cities of Tomorrow</w:t>
      </w:r>
      <w:r>
        <w:t>, 1898</w:t>
      </w:r>
      <w:r w:rsidR="007D0048">
        <w:t>.</w:t>
      </w:r>
    </w:p>
  </w:footnote>
  <w:footnote w:id="3">
    <w:p w:rsidR="00F54504" w:rsidRDefault="00F54504">
      <w:pPr>
        <w:pStyle w:val="FootnoteText"/>
      </w:pPr>
      <w:r>
        <w:rPr>
          <w:rStyle w:val="FootnoteReference"/>
        </w:rPr>
        <w:footnoteRef/>
      </w:r>
      <w:r>
        <w:t xml:space="preserve"> On Morris see for example: </w:t>
      </w:r>
      <w:r w:rsidR="00477585">
        <w:t xml:space="preserve">William Morris, </w:t>
      </w:r>
      <w:proofErr w:type="gramStart"/>
      <w:r w:rsidR="00477585" w:rsidRPr="00BB1656">
        <w:rPr>
          <w:i/>
        </w:rPr>
        <w:t>News  From</w:t>
      </w:r>
      <w:proofErr w:type="gramEnd"/>
      <w:r w:rsidR="00477585" w:rsidRPr="00BB1656">
        <w:rPr>
          <w:i/>
        </w:rPr>
        <w:t xml:space="preserve"> Nowhere</w:t>
      </w:r>
      <w:r w:rsidR="00EB3AA6">
        <w:rPr>
          <w:i/>
        </w:rPr>
        <w:t>: Or an Epoch of Rest (1890)</w:t>
      </w:r>
      <w:r w:rsidR="00BB1656">
        <w:t>,</w:t>
      </w:r>
      <w:r w:rsidR="00BB1656" w:rsidRPr="00BB1656">
        <w:t xml:space="preserve"> </w:t>
      </w:r>
      <w:hyperlink r:id="rId1" w:history="1">
        <w:r w:rsidR="00BB1656" w:rsidRPr="00366534">
          <w:rPr>
            <w:rStyle w:val="Hyperlink"/>
          </w:rPr>
          <w:t>http://morrisedition.lib.uiowa.edu/newstext.html</w:t>
        </w:r>
      </w:hyperlink>
      <w:r w:rsidR="00BB1656">
        <w:t xml:space="preserve">  , and  </w:t>
      </w:r>
      <w:r w:rsidR="00BB1656" w:rsidRPr="00BB1656">
        <w:rPr>
          <w:i/>
        </w:rPr>
        <w:t>Art and Socialism: A Lecture Delivered to the Secular Society of Leicester</w:t>
      </w:r>
      <w:r w:rsidR="00BB1656">
        <w:t xml:space="preserve"> (1884), </w:t>
      </w:r>
      <w:hyperlink r:id="rId2" w:history="1">
        <w:r w:rsidR="00BB1656" w:rsidRPr="00366534">
          <w:rPr>
            <w:rStyle w:val="Hyperlink"/>
          </w:rPr>
          <w:t>https://www.marxists.org/archive/morris/works/1884/as/as.htm</w:t>
        </w:r>
      </w:hyperlink>
      <w:r w:rsidR="00BB1656">
        <w:t>’ ,  accessed 22/10/15.</w:t>
      </w:r>
      <w:r w:rsidR="00EB3AA6">
        <w:t xml:space="preserve">  </w:t>
      </w:r>
      <w:r>
        <w:t>On Ruskin see for example:</w:t>
      </w:r>
      <w:r w:rsidR="00477585">
        <w:t xml:space="preserve"> P.D. Anthony, </w:t>
      </w:r>
      <w:r w:rsidR="00477585" w:rsidRPr="00477585">
        <w:rPr>
          <w:i/>
        </w:rPr>
        <w:t>John Ruskin’s Labour: A Study of Ruskin’s Social Theory</w:t>
      </w:r>
      <w:r w:rsidR="00477585">
        <w:t xml:space="preserve">, Cambridge: Cambridge University Press, 1983; Gill </w:t>
      </w:r>
      <w:proofErr w:type="spellStart"/>
      <w:r w:rsidR="00477585">
        <w:t>Cockran</w:t>
      </w:r>
      <w:proofErr w:type="spellEnd"/>
      <w:r w:rsidR="00477585">
        <w:t xml:space="preserve">, </w:t>
      </w:r>
      <w:r w:rsidR="00477585" w:rsidRPr="00477585">
        <w:rPr>
          <w:i/>
        </w:rPr>
        <w:t>Ruskin and Social Reform: Ethics and Economics in the Victorian Age</w:t>
      </w:r>
      <w:r w:rsidR="00477585">
        <w:t xml:space="preserve">, London and New York: I.B. Tauris, 2007; Colin Skelly, ‘John Ruskin 1819-1900: A Socialist Perspective’, </w:t>
      </w:r>
      <w:r w:rsidR="00477585" w:rsidRPr="00477585">
        <w:rPr>
          <w:i/>
        </w:rPr>
        <w:t>Socialist Standard</w:t>
      </w:r>
      <w:r w:rsidR="00477585">
        <w:t>, no.1150, June 2000, Socialist Party of Great Britain website,</w:t>
      </w:r>
      <w:r w:rsidR="00477585" w:rsidRPr="00477585">
        <w:t xml:space="preserve"> </w:t>
      </w:r>
      <w:hyperlink r:id="rId3" w:history="1">
        <w:r w:rsidR="00477585" w:rsidRPr="00366534">
          <w:rPr>
            <w:rStyle w:val="Hyperlink"/>
          </w:rPr>
          <w:t>http://www.worldsocialism.org/spgb/socialist-standard/2000s/2000/no-1150-june-2000/john-ruskin-1819-1900-socialist-perspective</w:t>
        </w:r>
      </w:hyperlink>
      <w:r w:rsidR="00477585">
        <w:t xml:space="preserve"> </w:t>
      </w:r>
      <w:r w:rsidR="00BB1656">
        <w:t>, accessed 22/10/15</w:t>
      </w:r>
      <w:r w:rsidR="00477585">
        <w:t xml:space="preserve"> .</w:t>
      </w:r>
    </w:p>
  </w:footnote>
  <w:footnote w:id="4">
    <w:p w:rsidR="008E0ED0" w:rsidRDefault="008E0ED0">
      <w:pPr>
        <w:pStyle w:val="FootnoteText"/>
      </w:pPr>
      <w:r>
        <w:rPr>
          <w:rStyle w:val="FootnoteReference"/>
        </w:rPr>
        <w:footnoteRef/>
      </w:r>
      <w:r>
        <w:t xml:space="preserve"> </w:t>
      </w:r>
      <w:r w:rsidR="007D0048" w:rsidRPr="007D0048">
        <w:t xml:space="preserve">It was a context that would also form the basis of Joseph Conrad’s novel, </w:t>
      </w:r>
      <w:r w:rsidR="007D0048" w:rsidRPr="007D0048">
        <w:rPr>
          <w:i/>
        </w:rPr>
        <w:t>The Secret Agent</w:t>
      </w:r>
      <w:r w:rsidR="007D0048" w:rsidRPr="007D0048">
        <w:t xml:space="preserve">, published in 1907. </w:t>
      </w:r>
      <w:r>
        <w:t xml:space="preserve">Tom Reiss, ‘The True Classic of Terrorism’, review of Joseph Conrad, </w:t>
      </w:r>
      <w:r w:rsidRPr="00DA0179">
        <w:rPr>
          <w:i/>
        </w:rPr>
        <w:t>The Secret Agent</w:t>
      </w:r>
      <w:r>
        <w:t>, [1907]</w:t>
      </w:r>
      <w:r w:rsidR="00C2297D">
        <w:t>, New York Times, September 11, 2005,</w:t>
      </w:r>
      <w:r w:rsidR="00C2297D" w:rsidRPr="00C2297D">
        <w:t xml:space="preserve"> </w:t>
      </w:r>
      <w:hyperlink r:id="rId4" w:history="1">
        <w:r w:rsidR="00C2297D" w:rsidRPr="002635B1">
          <w:rPr>
            <w:rStyle w:val="Hyperlink"/>
          </w:rPr>
          <w:t>http://www.nytimes.com/2005/09/11/books/review/the-true-classic-of-terrorism.html?_r=0</w:t>
        </w:r>
      </w:hyperlink>
      <w:proofErr w:type="gramStart"/>
      <w:r w:rsidR="00C2297D">
        <w:t xml:space="preserve"> </w:t>
      </w:r>
      <w:proofErr w:type="gramEnd"/>
      <w:r w:rsidR="00C2297D">
        <w:t xml:space="preserve"> </w:t>
      </w:r>
      <w:r>
        <w:t>.  Reiss intimates that between 1881 and 1901 there were a lot of prominent assassinations of heads of state done by anarchists</w:t>
      </w:r>
      <w:r w:rsidR="00A078EB">
        <w:t>, including</w:t>
      </w:r>
      <w:r w:rsidR="00BA2521">
        <w:t xml:space="preserve"> 2 U</w:t>
      </w:r>
      <w:r w:rsidR="00A078EB">
        <w:t xml:space="preserve">SA Presidents, Garfield and </w:t>
      </w:r>
      <w:proofErr w:type="spellStart"/>
      <w:r w:rsidR="00A078EB">
        <w:t>McInley</w:t>
      </w:r>
      <w:proofErr w:type="spellEnd"/>
      <w:r w:rsidR="00A078EB">
        <w:t xml:space="preserve">, the French President Carnot, </w:t>
      </w:r>
      <w:r w:rsidR="00BA2521">
        <w:t xml:space="preserve">Empress Elizabeth of Austria; </w:t>
      </w:r>
      <w:r w:rsidR="00A078EB">
        <w:t xml:space="preserve"> the Italian King Umberto I</w:t>
      </w:r>
      <w:r w:rsidR="00BA2521">
        <w:t xml:space="preserve">; </w:t>
      </w:r>
      <w:r w:rsidR="00C2297D">
        <w:t xml:space="preserve">and Tsar </w:t>
      </w:r>
      <w:proofErr w:type="spellStart"/>
      <w:r w:rsidR="00C2297D">
        <w:t>Alexandr</w:t>
      </w:r>
      <w:proofErr w:type="spellEnd"/>
      <w:r w:rsidR="00C2297D">
        <w:t xml:space="preserve"> II  of Russia.</w:t>
      </w:r>
      <w:r w:rsidR="00DA0179">
        <w:t xml:space="preserve"> </w:t>
      </w:r>
    </w:p>
  </w:footnote>
  <w:footnote w:id="5">
    <w:p w:rsidR="005C0AAE" w:rsidRDefault="005C0AAE">
      <w:pPr>
        <w:pStyle w:val="FootnoteText"/>
      </w:pPr>
      <w:r>
        <w:rPr>
          <w:rStyle w:val="FootnoteReference"/>
        </w:rPr>
        <w:footnoteRef/>
      </w:r>
      <w:r>
        <w:t xml:space="preserve"> </w:t>
      </w:r>
      <w:proofErr w:type="gramStart"/>
      <w:r>
        <w:t>I</w:t>
      </w:r>
      <w:r w:rsidRPr="005C0AAE">
        <w:t xml:space="preserve">ncluding Henry Mayhew’s </w:t>
      </w:r>
      <w:r w:rsidRPr="005C0AAE">
        <w:rPr>
          <w:i/>
        </w:rPr>
        <w:t xml:space="preserve">London Labour </w:t>
      </w:r>
      <w:r w:rsidRPr="005C0AAE">
        <w:t>and</w:t>
      </w:r>
      <w:r w:rsidRPr="005C0AAE">
        <w:rPr>
          <w:i/>
        </w:rPr>
        <w:t xml:space="preserve"> London Poor</w:t>
      </w:r>
      <w:r w:rsidRPr="005C0AAE">
        <w:t xml:space="preserve"> [1851/1861]</w:t>
      </w:r>
      <w:r>
        <w:t>.</w:t>
      </w:r>
      <w:proofErr w:type="gramEnd"/>
    </w:p>
  </w:footnote>
  <w:footnote w:id="6">
    <w:p w:rsidR="00CF18BC" w:rsidRDefault="00CF18BC">
      <w:pPr>
        <w:pStyle w:val="FootnoteText"/>
      </w:pPr>
      <w:r>
        <w:rPr>
          <w:rStyle w:val="FootnoteReference"/>
        </w:rPr>
        <w:footnoteRef/>
      </w:r>
      <w:r>
        <w:t xml:space="preserve"> The first publication relating to this survey was Charles Booth, </w:t>
      </w:r>
      <w:r w:rsidRPr="00CF18BC">
        <w:rPr>
          <w:i/>
        </w:rPr>
        <w:t>Life and Labour of the People</w:t>
      </w:r>
      <w:r>
        <w:t xml:space="preserve">, 2 </w:t>
      </w:r>
      <w:proofErr w:type="spellStart"/>
      <w:r>
        <w:t>vols</w:t>
      </w:r>
      <w:proofErr w:type="spellEnd"/>
      <w:r>
        <w:t>, London</w:t>
      </w:r>
      <w:proofErr w:type="gramStart"/>
      <w:r>
        <w:t>:?,</w:t>
      </w:r>
      <w:proofErr w:type="gramEnd"/>
      <w:r>
        <w:t xml:space="preserve"> 1889.</w:t>
      </w:r>
    </w:p>
  </w:footnote>
  <w:footnote w:id="7">
    <w:p w:rsidR="00913AD0" w:rsidRDefault="00913AD0" w:rsidP="00913AD0">
      <w:pPr>
        <w:pStyle w:val="FootnoteText"/>
      </w:pPr>
      <w:r>
        <w:rPr>
          <w:rStyle w:val="FootnoteReference"/>
        </w:rPr>
        <w:footnoteRef/>
      </w:r>
      <w:r>
        <w:t xml:space="preserve"> </w:t>
      </w:r>
      <w:proofErr w:type="gramStart"/>
      <w:r>
        <w:t xml:space="preserve">Woodcock and </w:t>
      </w:r>
      <w:proofErr w:type="spellStart"/>
      <w:r>
        <w:t>Avakumic</w:t>
      </w:r>
      <w:proofErr w:type="spellEnd"/>
      <w:r>
        <w:t>, pp.202, 214-217, 224-226.</w:t>
      </w:r>
      <w:proofErr w:type="gramEnd"/>
    </w:p>
  </w:footnote>
  <w:footnote w:id="8">
    <w:p w:rsidR="00004D0E" w:rsidRDefault="00004D0E">
      <w:pPr>
        <w:pStyle w:val="FootnoteText"/>
      </w:pPr>
      <w:r>
        <w:rPr>
          <w:rStyle w:val="FootnoteReference"/>
        </w:rPr>
        <w:footnoteRef/>
      </w:r>
      <w:r>
        <w:t xml:space="preserve"> </w:t>
      </w:r>
      <w:proofErr w:type="gramStart"/>
      <w:r w:rsidR="00D2062D">
        <w:t>E</w:t>
      </w:r>
      <w:r w:rsidR="00D2062D" w:rsidRPr="00D2062D">
        <w:t>xemplified in London by the Match Girls’ Strike in 1888 and the Docker’s Strike in 1889</w:t>
      </w:r>
      <w:r w:rsidR="00D2062D">
        <w:t>.</w:t>
      </w:r>
      <w:proofErr w:type="gramEnd"/>
      <w:r w:rsidR="00D2062D">
        <w:t xml:space="preserve">  </w:t>
      </w:r>
      <w:proofErr w:type="gramStart"/>
      <w:r>
        <w:t>Ibid.,</w:t>
      </w:r>
      <w:proofErr w:type="gramEnd"/>
      <w:r>
        <w:t xml:space="preserve"> pp.231-232.</w:t>
      </w:r>
    </w:p>
  </w:footnote>
  <w:footnote w:id="9">
    <w:p w:rsidR="00F5246A" w:rsidRDefault="00F5246A">
      <w:pPr>
        <w:pStyle w:val="FootnoteText"/>
      </w:pPr>
      <w:r>
        <w:rPr>
          <w:rStyle w:val="FootnoteReference"/>
        </w:rPr>
        <w:footnoteRef/>
      </w:r>
      <w:r>
        <w:t xml:space="preserve"> Philippa Levine and Alison Bashford, ‘Introduction: Eugenics and the Modern World’, </w:t>
      </w:r>
      <w:r w:rsidRPr="00F5246A">
        <w:rPr>
          <w:i/>
        </w:rPr>
        <w:t>The Oxford Handbook of the History of Eugenics</w:t>
      </w:r>
      <w:r>
        <w:t>, New York: Oxford University Press, p.11.</w:t>
      </w:r>
    </w:p>
  </w:footnote>
  <w:footnote w:id="10">
    <w:p w:rsidR="00015297" w:rsidRDefault="00015297">
      <w:pPr>
        <w:pStyle w:val="FootnoteText"/>
      </w:pPr>
      <w:r>
        <w:rPr>
          <w:rStyle w:val="FootnoteReference"/>
        </w:rPr>
        <w:footnoteRef/>
      </w:r>
      <w:r>
        <w:t xml:space="preserve"> Prince Kropotkin, </w:t>
      </w:r>
      <w:r w:rsidR="003A6AFC">
        <w:t>‘</w:t>
      </w:r>
      <w:r>
        <w:t>Re</w:t>
      </w:r>
      <w:r w:rsidR="003A6AFC">
        <w:t>port of the Proceedings.  Section III. – Sociology and Eugenics’</w:t>
      </w:r>
      <w:r w:rsidR="003A6AFC" w:rsidRPr="003A6AFC">
        <w:rPr>
          <w:i/>
        </w:rPr>
        <w:t>, Proceedings of the 1</w:t>
      </w:r>
      <w:r w:rsidR="003A6AFC" w:rsidRPr="003A6AFC">
        <w:rPr>
          <w:i/>
          <w:vertAlign w:val="superscript"/>
        </w:rPr>
        <w:t>st</w:t>
      </w:r>
      <w:r w:rsidR="003A6AFC" w:rsidRPr="003A6AFC">
        <w:rPr>
          <w:i/>
        </w:rPr>
        <w:t xml:space="preserve"> International Eugenics Congress</w:t>
      </w:r>
      <w:r w:rsidR="003A6AFC">
        <w:t>, 1912, London: Charles Knight &amp; Co. 1912, pp.50-51.</w:t>
      </w:r>
    </w:p>
  </w:footnote>
  <w:footnote w:id="11">
    <w:p w:rsidR="007A179C" w:rsidRDefault="007A179C">
      <w:pPr>
        <w:pStyle w:val="FootnoteText"/>
      </w:pPr>
      <w:r>
        <w:rPr>
          <w:rStyle w:val="FootnoteReference"/>
        </w:rPr>
        <w:footnoteRef/>
      </w:r>
      <w:r>
        <w:t xml:space="preserve"> Pat Simpson, ‘Imagining Post-Revolutionary Evolution’, in Barbara Larson and Fae </w:t>
      </w:r>
      <w:proofErr w:type="spellStart"/>
      <w:r>
        <w:t>Brauer</w:t>
      </w:r>
      <w:proofErr w:type="spellEnd"/>
      <w:r>
        <w:t xml:space="preserve">, </w:t>
      </w:r>
      <w:proofErr w:type="spellStart"/>
      <w:r>
        <w:t>eds</w:t>
      </w:r>
      <w:proofErr w:type="spellEnd"/>
      <w:r>
        <w:t xml:space="preserve">, </w:t>
      </w:r>
      <w:r w:rsidRPr="007A179C">
        <w:rPr>
          <w:i/>
        </w:rPr>
        <w:t>The Art of Evolution: Darwin</w:t>
      </w:r>
      <w:proofErr w:type="gramStart"/>
      <w:r w:rsidRPr="007A179C">
        <w:rPr>
          <w:i/>
        </w:rPr>
        <w:t xml:space="preserve">,  </w:t>
      </w:r>
      <w:proofErr w:type="spellStart"/>
      <w:r w:rsidRPr="007A179C">
        <w:rPr>
          <w:i/>
        </w:rPr>
        <w:t>Darwinisms</w:t>
      </w:r>
      <w:proofErr w:type="spellEnd"/>
      <w:proofErr w:type="gramEnd"/>
      <w:r w:rsidRPr="007A179C">
        <w:rPr>
          <w:i/>
        </w:rPr>
        <w:t xml:space="preserve"> and Visual Culture</w:t>
      </w:r>
      <w:r>
        <w:t>,  Hanover and London: University Press of New England, 2009, pp.226-261.</w:t>
      </w:r>
    </w:p>
  </w:footnote>
  <w:footnote w:id="12">
    <w:p w:rsidR="00F420C8" w:rsidRDefault="00F420C8">
      <w:pPr>
        <w:pStyle w:val="FootnoteText"/>
      </w:pPr>
      <w:r>
        <w:rPr>
          <w:rStyle w:val="FootnoteReference"/>
        </w:rPr>
        <w:footnoteRef/>
      </w:r>
      <w:r>
        <w:t xml:space="preserve"> </w:t>
      </w:r>
      <w:r w:rsidR="00AB4F33" w:rsidRPr="00AB4F33">
        <w:rPr>
          <w:i/>
        </w:rPr>
        <w:t>Fields Factories and Workshops</w:t>
      </w:r>
      <w:r w:rsidR="00AB4F33">
        <w:t>, Ch. 3</w:t>
      </w:r>
      <w:proofErr w:type="gramStart"/>
      <w:r w:rsidR="00AB4F33">
        <w:t>,  ‘Small</w:t>
      </w:r>
      <w:proofErr w:type="gramEnd"/>
      <w:r w:rsidR="00AB4F33">
        <w:t xml:space="preserve"> Industries and Industrial Villages’.</w:t>
      </w:r>
    </w:p>
  </w:footnote>
  <w:footnote w:id="13">
    <w:p w:rsidR="00F420C8" w:rsidRDefault="00F420C8">
      <w:pPr>
        <w:pStyle w:val="FootnoteText"/>
      </w:pPr>
      <w:r>
        <w:rPr>
          <w:rStyle w:val="FootnoteReference"/>
        </w:rPr>
        <w:footnoteRef/>
      </w:r>
      <w:r>
        <w:t xml:space="preserve"> </w:t>
      </w:r>
      <w:r w:rsidR="000C3F89">
        <w:t xml:space="preserve">The subtitle of </w:t>
      </w:r>
      <w:r w:rsidR="000C3F89" w:rsidRPr="000C3F89">
        <w:rPr>
          <w:i/>
        </w:rPr>
        <w:t xml:space="preserve">Fields, Factories and Workshops </w:t>
      </w:r>
      <w:r w:rsidR="000C3F89" w:rsidRPr="00BE13BC">
        <w:t>was</w:t>
      </w:r>
      <w:r w:rsidR="000C3F89" w:rsidRPr="000C3F89">
        <w:rPr>
          <w:i/>
        </w:rPr>
        <w:t>, Or, Industry combined with Agricu</w:t>
      </w:r>
      <w:r w:rsidR="000C3F89">
        <w:rPr>
          <w:i/>
        </w:rPr>
        <w:t>lture and Brain Work with Manua</w:t>
      </w:r>
      <w:r w:rsidR="000C3F89" w:rsidRPr="000C3F89">
        <w:rPr>
          <w:i/>
        </w:rPr>
        <w:t>l Work</w:t>
      </w:r>
      <w:r w:rsidR="000C3F89">
        <w:rPr>
          <w:i/>
        </w:rPr>
        <w:t>.</w:t>
      </w:r>
    </w:p>
  </w:footnote>
  <w:footnote w:id="14">
    <w:p w:rsidR="0062781C" w:rsidRDefault="0062781C">
      <w:pPr>
        <w:pStyle w:val="FootnoteText"/>
      </w:pPr>
      <w:r>
        <w:rPr>
          <w:rStyle w:val="FootnoteReference"/>
        </w:rPr>
        <w:footnoteRef/>
      </w:r>
      <w:r>
        <w:t xml:space="preserve"> Woodcock and </w:t>
      </w:r>
      <w:proofErr w:type="spellStart"/>
      <w:r>
        <w:t>Avakumovic</w:t>
      </w:r>
      <w:proofErr w:type="spellEnd"/>
      <w:r>
        <w:t xml:space="preserve">, </w:t>
      </w:r>
      <w:r w:rsidR="006B39FC">
        <w:t xml:space="preserve"> </w:t>
      </w:r>
      <w:r>
        <w:t>p.230</w:t>
      </w:r>
    </w:p>
  </w:footnote>
  <w:footnote w:id="15">
    <w:p w:rsidR="006B39FC" w:rsidRDefault="006B39FC">
      <w:pPr>
        <w:pStyle w:val="FootnoteText"/>
      </w:pPr>
      <w:r>
        <w:rPr>
          <w:rStyle w:val="FootnoteReference"/>
        </w:rPr>
        <w:footnoteRef/>
      </w:r>
      <w:r>
        <w:t xml:space="preserve"> William Morris, </w:t>
      </w:r>
      <w:proofErr w:type="gramStart"/>
      <w:r w:rsidRPr="00BB1656">
        <w:rPr>
          <w:i/>
        </w:rPr>
        <w:t>News  From</w:t>
      </w:r>
      <w:proofErr w:type="gramEnd"/>
      <w:r w:rsidRPr="00BB1656">
        <w:rPr>
          <w:i/>
        </w:rPr>
        <w:t xml:space="preserve"> Nowhere</w:t>
      </w:r>
      <w:r>
        <w:rPr>
          <w:i/>
        </w:rPr>
        <w:t>: Or an Epoch of Rest (1890)</w:t>
      </w:r>
      <w:r>
        <w:t>,</w:t>
      </w:r>
      <w:r w:rsidRPr="00BB1656">
        <w:t xml:space="preserve"> </w:t>
      </w:r>
      <w:hyperlink r:id="rId5" w:history="1">
        <w:r w:rsidRPr="00366534">
          <w:rPr>
            <w:rStyle w:val="Hyperlink"/>
          </w:rPr>
          <w:t>http://morrisedition.lib.uiowa.edu/newstext.html</w:t>
        </w:r>
      </w:hyperlink>
      <w:r>
        <w:rPr>
          <w:rStyle w:val="Hyperlink"/>
        </w:rPr>
        <w:t>.</w:t>
      </w:r>
    </w:p>
  </w:footnote>
  <w:footnote w:id="16">
    <w:p w:rsidR="00F420C8" w:rsidRDefault="00F420C8">
      <w:pPr>
        <w:pStyle w:val="FootnoteText"/>
      </w:pPr>
      <w:r>
        <w:rPr>
          <w:rStyle w:val="FootnoteReference"/>
        </w:rPr>
        <w:footnoteRef/>
      </w:r>
      <w:r>
        <w:t xml:space="preserve"> </w:t>
      </w:r>
    </w:p>
  </w:footnote>
  <w:footnote w:id="17">
    <w:p w:rsidR="007A00E2" w:rsidRDefault="007A00E2">
      <w:pPr>
        <w:pStyle w:val="FootnoteText"/>
      </w:pPr>
      <w:r>
        <w:rPr>
          <w:rStyle w:val="FootnoteReference"/>
        </w:rPr>
        <w:footnoteRef/>
      </w:r>
      <w:r>
        <w:t xml:space="preserve"> </w:t>
      </w:r>
    </w:p>
  </w:footnote>
  <w:footnote w:id="18">
    <w:p w:rsidR="006438C9" w:rsidRDefault="006438C9">
      <w:pPr>
        <w:pStyle w:val="FootnoteText"/>
      </w:pPr>
      <w:r>
        <w:rPr>
          <w:rStyle w:val="FootnoteReference"/>
        </w:rPr>
        <w:footnoteRef/>
      </w:r>
      <w:r>
        <w:t xml:space="preserve"> Woodcock and </w:t>
      </w:r>
      <w:proofErr w:type="spellStart"/>
      <w:r>
        <w:t>Avakumic</w:t>
      </w:r>
      <w:proofErr w:type="spellEnd"/>
      <w:r>
        <w:t>, p.241</w:t>
      </w:r>
    </w:p>
  </w:footnote>
  <w:footnote w:id="19">
    <w:p w:rsidR="006438C9" w:rsidRDefault="006438C9" w:rsidP="006438C9">
      <w:pPr>
        <w:pStyle w:val="FootnoteText"/>
      </w:pPr>
      <w:r>
        <w:rPr>
          <w:rStyle w:val="FootnoteReference"/>
        </w:rPr>
        <w:footnoteRef/>
      </w:r>
      <w:r>
        <w:t xml:space="preserve"> </w:t>
      </w:r>
      <w:proofErr w:type="gramStart"/>
      <w:r>
        <w:t>Ibid.,</w:t>
      </w:r>
      <w:proofErr w:type="gramEnd"/>
      <w:r>
        <w:t xml:space="preserve"> 244.</w:t>
      </w:r>
    </w:p>
  </w:footnote>
  <w:footnote w:id="20">
    <w:p w:rsidR="001B4EFC" w:rsidRDefault="001B4EFC">
      <w:pPr>
        <w:pStyle w:val="FootnoteText"/>
      </w:pPr>
      <w:r>
        <w:rPr>
          <w:rStyle w:val="FootnoteReference"/>
        </w:rPr>
        <w:footnoteRef/>
      </w:r>
      <w:r>
        <w:t xml:space="preserve"> </w:t>
      </w:r>
      <w:proofErr w:type="gramStart"/>
      <w:r>
        <w:t xml:space="preserve">Ebenezer Howard, </w:t>
      </w:r>
      <w:r w:rsidRPr="001B4EFC">
        <w:rPr>
          <w:i/>
        </w:rPr>
        <w:t>Tomorrow.</w:t>
      </w:r>
      <w:proofErr w:type="gramEnd"/>
      <w:r w:rsidRPr="001B4EFC">
        <w:rPr>
          <w:i/>
        </w:rPr>
        <w:t xml:space="preserve">  A Peaceful Path to Real Reform</w:t>
      </w:r>
      <w:r>
        <w:t xml:space="preserve">, (London: Swann </w:t>
      </w:r>
      <w:proofErr w:type="spellStart"/>
      <w:r>
        <w:t>Sonnenschein</w:t>
      </w:r>
      <w:proofErr w:type="spellEnd"/>
      <w:r>
        <w:t>, 1898, p. 97), facsimile with commentary by Peter Hall, Dennis Hardy and Colin Ward, London: Routledge, 2003, p.</w:t>
      </w:r>
      <w:r w:rsidR="00801DBC">
        <w:t>124.</w:t>
      </w:r>
    </w:p>
  </w:footnote>
  <w:footnote w:id="21">
    <w:p w:rsidR="001E6B91" w:rsidRDefault="001E6B91">
      <w:pPr>
        <w:pStyle w:val="FootnoteText"/>
      </w:pPr>
      <w:r>
        <w:rPr>
          <w:rStyle w:val="FootnoteReference"/>
        </w:rPr>
        <w:footnoteRef/>
      </w:r>
      <w:r>
        <w:t xml:space="preserve"> Volker M. Welter, </w:t>
      </w:r>
      <w:proofErr w:type="spellStart"/>
      <w:r w:rsidRPr="00F5246A">
        <w:rPr>
          <w:i/>
        </w:rPr>
        <w:t>Biopolis</w:t>
      </w:r>
      <w:proofErr w:type="spellEnd"/>
      <w:r w:rsidRPr="00F5246A">
        <w:rPr>
          <w:i/>
        </w:rPr>
        <w:t>: Patrick Geddes and the City of Life</w:t>
      </w:r>
      <w:r>
        <w:t>, Cam</w:t>
      </w:r>
      <w:r w:rsidR="00E710F3">
        <w:t>b</w:t>
      </w:r>
      <w:bookmarkStart w:id="0" w:name="_GoBack"/>
      <w:bookmarkEnd w:id="0"/>
      <w:r>
        <w:t>ridge, Mass and London: MIT Press, 2002</w:t>
      </w:r>
      <w:r w:rsidR="00D10AA8">
        <w:t>, p.58</w:t>
      </w:r>
    </w:p>
  </w:footnote>
  <w:footnote w:id="22">
    <w:p w:rsidR="005A0BAE" w:rsidRDefault="005A0BAE">
      <w:pPr>
        <w:pStyle w:val="FootnoteText"/>
      </w:pPr>
      <w:r>
        <w:rPr>
          <w:rStyle w:val="FootnoteReference"/>
        </w:rPr>
        <w:footnoteRef/>
      </w:r>
      <w:r>
        <w:t xml:space="preserve"> Ibid.</w:t>
      </w:r>
    </w:p>
  </w:footnote>
  <w:footnote w:id="23">
    <w:p w:rsidR="00A769B7" w:rsidRDefault="00A769B7" w:rsidP="00A769B7">
      <w:pPr>
        <w:pStyle w:val="FootnoteText"/>
      </w:pPr>
      <w:r>
        <w:rPr>
          <w:rStyle w:val="FootnoteReference"/>
        </w:rPr>
        <w:footnoteRef/>
      </w:r>
      <w:r>
        <w:t xml:space="preserve"> Peter Kropotkin, </w:t>
      </w:r>
      <w:r w:rsidRPr="008E5548">
        <w:rPr>
          <w:i/>
        </w:rPr>
        <w:t>Fields Factories and Workshops</w:t>
      </w:r>
      <w:r>
        <w:t xml:space="preserve">, London: Swann and </w:t>
      </w:r>
      <w:proofErr w:type="spellStart"/>
      <w:r>
        <w:t>Sonnenschein</w:t>
      </w:r>
      <w:proofErr w:type="spellEnd"/>
      <w:r>
        <w:t>, 1902, pp.123-126.</w:t>
      </w:r>
      <w:r w:rsidR="0092542C">
        <w:t xml:space="preserve"> </w:t>
      </w:r>
    </w:p>
  </w:footnote>
  <w:footnote w:id="24">
    <w:p w:rsidR="0092542C" w:rsidRDefault="0092542C">
      <w:pPr>
        <w:pStyle w:val="FootnoteText"/>
      </w:pPr>
      <w:r>
        <w:rPr>
          <w:rStyle w:val="FootnoteReference"/>
        </w:rPr>
        <w:footnoteRef/>
      </w:r>
      <w:r>
        <w:t xml:space="preserve"> Ebenezer Howard, </w:t>
      </w:r>
      <w:r w:rsidRPr="008E4C16">
        <w:rPr>
          <w:i/>
        </w:rPr>
        <w:t>Garden Cities of Tomorrow</w:t>
      </w:r>
      <w:r>
        <w:t xml:space="preserve"> (1902) reprinted with a Preface by F.J. Osborn and Introduction by Lewis Mumford, London: Faber and Faber, 1946, pp.50-57, 138-147, </w:t>
      </w:r>
      <w:hyperlink r:id="rId6" w:history="1">
        <w:r w:rsidRPr="006121B4">
          <w:rPr>
            <w:rStyle w:val="Hyperlink"/>
          </w:rPr>
          <w:t>http://urbanplanning.library.cornell.edu/DOCS/howard.htm</w:t>
        </w:r>
      </w:hyperlink>
      <w:r>
        <w:t xml:space="preserve"> , </w:t>
      </w:r>
      <w:proofErr w:type="gramStart"/>
      <w:r>
        <w:t>accessed</w:t>
      </w:r>
      <w:proofErr w:type="gramEnd"/>
      <w:r>
        <w:t xml:space="preserve"> 25/10/15.</w:t>
      </w:r>
    </w:p>
  </w:footnote>
  <w:footnote w:id="25">
    <w:p w:rsidR="006F4DF0" w:rsidRDefault="006F4DF0">
      <w:pPr>
        <w:pStyle w:val="FootnoteText"/>
      </w:pPr>
      <w:r>
        <w:rPr>
          <w:rStyle w:val="FootnoteReference"/>
        </w:rPr>
        <w:footnoteRef/>
      </w:r>
      <w:r>
        <w:t xml:space="preserve"> </w:t>
      </w:r>
      <w:r w:rsidR="000137FF">
        <w:t xml:space="preserve">A.W. Brunt, </w:t>
      </w:r>
      <w:r w:rsidR="000137FF" w:rsidRPr="000137FF">
        <w:rPr>
          <w:i/>
        </w:rPr>
        <w:t>Pageant of Letchworth</w:t>
      </w:r>
      <w:r w:rsidR="000137FF">
        <w:rPr>
          <w:i/>
        </w:rPr>
        <w:t xml:space="preserve"> 1903-1914</w:t>
      </w:r>
      <w:r w:rsidR="000137FF">
        <w:t>, Letchworth: Letchworth Printers, 1942, p.132.  NB</w:t>
      </w:r>
      <w:r w:rsidR="00D10AA8">
        <w:t>.  H</w:t>
      </w:r>
      <w:r w:rsidR="000137FF">
        <w:t>ere</w:t>
      </w:r>
      <w:r w:rsidR="00D10AA8">
        <w:t xml:space="preserve"> Fanny is listed under ‘Good Citizens of Letchworth’ and </w:t>
      </w:r>
      <w:proofErr w:type="spellStart"/>
      <w:r w:rsidR="000137FF">
        <w:t>Stepniak</w:t>
      </w:r>
      <w:proofErr w:type="spellEnd"/>
      <w:r w:rsidR="000137FF">
        <w:t xml:space="preserve"> is </w:t>
      </w:r>
      <w:r w:rsidR="00D10AA8">
        <w:t xml:space="preserve">euphemistically </w:t>
      </w:r>
      <w:r w:rsidR="000137FF">
        <w:t>described as the ‘Russian reformer’.</w:t>
      </w:r>
    </w:p>
  </w:footnote>
  <w:footnote w:id="26">
    <w:p w:rsidR="006F4DF0" w:rsidRDefault="006F4DF0">
      <w:pPr>
        <w:pStyle w:val="FootnoteText"/>
      </w:pPr>
      <w:r>
        <w:rPr>
          <w:rStyle w:val="FootnoteReference"/>
        </w:rPr>
        <w:footnoteRef/>
      </w:r>
      <w:r>
        <w:t xml:space="preserve"> Pamela Shields, </w:t>
      </w:r>
      <w:r w:rsidRPr="006F4DF0">
        <w:rPr>
          <w:i/>
        </w:rPr>
        <w:t>Hertfordshire Secrets and Spies</w:t>
      </w:r>
      <w:r>
        <w:t>, Stroud: Amberley Publishing, 2013, (no pp. nos.) chapter 17 ‘John Buchan’ – NB</w:t>
      </w:r>
      <w:r w:rsidR="00FA463D">
        <w:t>.</w:t>
      </w:r>
      <w:r>
        <w:t xml:space="preserve"> </w:t>
      </w:r>
      <w:r w:rsidR="00FA463D">
        <w:t>T</w:t>
      </w:r>
      <w:r>
        <w:t>his is</w:t>
      </w:r>
      <w:r w:rsidR="00FA463D">
        <w:t>, however, a</w:t>
      </w:r>
      <w:r w:rsidR="00D53183">
        <w:t xml:space="preserve"> </w:t>
      </w:r>
      <w:proofErr w:type="gramStart"/>
      <w:r w:rsidR="00D53183">
        <w:t xml:space="preserve">potentially </w:t>
      </w:r>
      <w:r w:rsidR="00FA463D">
        <w:t xml:space="preserve"> dodgy</w:t>
      </w:r>
      <w:proofErr w:type="gramEnd"/>
      <w:r w:rsidR="00FA463D">
        <w:t xml:space="preserve"> source.  Not only does it have no page numbers</w:t>
      </w:r>
      <w:r w:rsidR="00D53183">
        <w:t>,</w:t>
      </w:r>
      <w:r w:rsidR="00FA463D">
        <w:t xml:space="preserve"> but it has no source references or bibliography either.  A number of assertions of fact are just incorrect</w:t>
      </w:r>
      <w:r w:rsidR="00A769B7">
        <w:t>.</w:t>
      </w:r>
    </w:p>
  </w:footnote>
  <w:footnote w:id="27">
    <w:p w:rsidR="00A50C24" w:rsidRDefault="00A50C24">
      <w:pPr>
        <w:pStyle w:val="FootnoteText"/>
      </w:pPr>
      <w:r>
        <w:rPr>
          <w:rStyle w:val="FootnoteReference"/>
        </w:rPr>
        <w:footnoteRef/>
      </w:r>
      <w:r>
        <w:t xml:space="preserve"> </w:t>
      </w:r>
      <w:r w:rsidR="00C8726B">
        <w:t>‘</w:t>
      </w:r>
      <w:proofErr w:type="spellStart"/>
      <w:r w:rsidR="00C8726B">
        <w:t>Mezentsov</w:t>
      </w:r>
      <w:proofErr w:type="spellEnd"/>
      <w:r w:rsidR="00C8726B">
        <w:t xml:space="preserve">, Nikolai Vladimirovich’, </w:t>
      </w:r>
      <w:r w:rsidR="00C8726B" w:rsidRPr="00C8726B">
        <w:rPr>
          <w:i/>
        </w:rPr>
        <w:t>The Great Soviet Encyclopaedia</w:t>
      </w:r>
      <w:r w:rsidR="00C8726B">
        <w:t>, 3</w:t>
      </w:r>
      <w:r w:rsidR="00C8726B" w:rsidRPr="00C8726B">
        <w:rPr>
          <w:vertAlign w:val="superscript"/>
        </w:rPr>
        <w:t>rd</w:t>
      </w:r>
      <w:r w:rsidR="00C8726B">
        <w:t xml:space="preserve"> edition, 1970-1979,</w:t>
      </w:r>
      <w:r w:rsidR="00C8726B" w:rsidRPr="00C8726B">
        <w:t xml:space="preserve"> </w:t>
      </w:r>
      <w:hyperlink r:id="rId7" w:history="1">
        <w:r w:rsidR="00C8726B" w:rsidRPr="00366534">
          <w:rPr>
            <w:rStyle w:val="Hyperlink"/>
          </w:rPr>
          <w:t>http://encyclopedia2.thefreedictionary.com/Nikolai+Mezentsov</w:t>
        </w:r>
      </w:hyperlink>
      <w:r w:rsidR="00C8726B">
        <w:t xml:space="preserve"> , accessed 22/10/15. </w:t>
      </w:r>
    </w:p>
  </w:footnote>
  <w:footnote w:id="28">
    <w:p w:rsidR="00D36575" w:rsidRDefault="00D36575" w:rsidP="00D36575">
      <w:pPr>
        <w:pStyle w:val="FootnoteText"/>
      </w:pPr>
      <w:r>
        <w:rPr>
          <w:rStyle w:val="FootnoteReference"/>
        </w:rPr>
        <w:footnoteRef/>
      </w:r>
      <w:r>
        <w:t xml:space="preserve"> Alfred E. </w:t>
      </w:r>
      <w:proofErr w:type="spellStart"/>
      <w:r>
        <w:t>Senn</w:t>
      </w:r>
      <w:proofErr w:type="spellEnd"/>
      <w:r>
        <w:t xml:space="preserve">, ‘The Russian Revolutionary Movement of the Nineteenth Century as Contemporary History’, </w:t>
      </w:r>
      <w:r w:rsidRPr="00C10921">
        <w:rPr>
          <w:i/>
        </w:rPr>
        <w:t>Kennan Institute for Advance Russian Studies, Occasional Papers</w:t>
      </w:r>
      <w:r>
        <w:t>, 1993,</w:t>
      </w:r>
      <w:r w:rsidRPr="00C10921">
        <w:t xml:space="preserve"> </w:t>
      </w:r>
      <w:hyperlink r:id="rId8" w:history="1">
        <w:r w:rsidRPr="00366534">
          <w:rPr>
            <w:rStyle w:val="Hyperlink"/>
          </w:rPr>
          <w:t>https://www.wilsoncenter.org/sites/default/files/op250_russian_revolutionay_movement_senn_1993.pdf</w:t>
        </w:r>
      </w:hyperlink>
      <w:r>
        <w:t xml:space="preserve"> , p.16. </w:t>
      </w:r>
    </w:p>
  </w:footnote>
  <w:footnote w:id="29">
    <w:p w:rsidR="00C10921" w:rsidRDefault="00C10921">
      <w:pPr>
        <w:pStyle w:val="FootnoteText"/>
      </w:pPr>
      <w:r>
        <w:rPr>
          <w:rStyle w:val="FootnoteReference"/>
        </w:rPr>
        <w:footnoteRef/>
      </w:r>
      <w:r>
        <w:t xml:space="preserve"> George Woodcock and Ivan </w:t>
      </w:r>
      <w:proofErr w:type="spellStart"/>
      <w:r>
        <w:t>Avakumovic</w:t>
      </w:r>
      <w:proofErr w:type="spellEnd"/>
      <w:r>
        <w:t xml:space="preserve">, </w:t>
      </w:r>
      <w:r w:rsidRPr="001843FC">
        <w:rPr>
          <w:i/>
        </w:rPr>
        <w:t>The Anarchist Prince: A Biographical Study</w:t>
      </w:r>
      <w:r>
        <w:t xml:space="preserve">, New York: </w:t>
      </w:r>
      <w:proofErr w:type="spellStart"/>
      <w:r>
        <w:t>Schocken</w:t>
      </w:r>
      <w:proofErr w:type="spellEnd"/>
      <w:r>
        <w:t xml:space="preserve"> Books, p</w:t>
      </w:r>
      <w:r w:rsidR="001843FC">
        <w:t>.204.</w:t>
      </w:r>
    </w:p>
  </w:footnote>
  <w:footnote w:id="30">
    <w:p w:rsidR="00D36575" w:rsidRDefault="00D36575">
      <w:pPr>
        <w:pStyle w:val="FootnoteText"/>
      </w:pPr>
      <w:r>
        <w:rPr>
          <w:rStyle w:val="FootnoteReference"/>
        </w:rPr>
        <w:footnoteRef/>
      </w:r>
      <w:r>
        <w:t xml:space="preserve"> </w:t>
      </w:r>
      <w:proofErr w:type="gramStart"/>
      <w:r>
        <w:t>Ibid. p.255</w:t>
      </w:r>
      <w:r w:rsidR="00651BB4">
        <w:t>.</w:t>
      </w:r>
      <w:proofErr w:type="gramEnd"/>
    </w:p>
  </w:footnote>
  <w:footnote w:id="31">
    <w:p w:rsidR="008F1A39" w:rsidRDefault="008F1A39">
      <w:pPr>
        <w:pStyle w:val="FootnoteText"/>
      </w:pPr>
      <w:r>
        <w:rPr>
          <w:rStyle w:val="FootnoteReference"/>
        </w:rPr>
        <w:footnoteRef/>
      </w:r>
      <w:r>
        <w:t xml:space="preserve"> Paul Avrich, ‘Peter </w:t>
      </w:r>
      <w:proofErr w:type="spellStart"/>
      <w:r>
        <w:t>Alekseyevich</w:t>
      </w:r>
      <w:proofErr w:type="spellEnd"/>
      <w:r>
        <w:t xml:space="preserve"> Kropotkin: Russian Revolutionary’, Encyclopaedia Britannica, </w:t>
      </w:r>
      <w:hyperlink r:id="rId9" w:history="1">
        <w:r w:rsidR="00651BB4" w:rsidRPr="00366534">
          <w:rPr>
            <w:rStyle w:val="Hyperlink"/>
          </w:rPr>
          <w:t>http://www.britannica.com/biography/Peter-Alekseyevich-Kropotkin</w:t>
        </w:r>
      </w:hyperlink>
      <w:r w:rsidR="00651BB4">
        <w:t xml:space="preserve"> , accessed 22/10/15.</w:t>
      </w:r>
    </w:p>
  </w:footnote>
  <w:footnote w:id="32">
    <w:p w:rsidR="00922A19" w:rsidRPr="00922A19" w:rsidRDefault="0010665C" w:rsidP="00922A19">
      <w:pPr>
        <w:pStyle w:val="FootnoteText"/>
      </w:pPr>
      <w:r>
        <w:rPr>
          <w:rStyle w:val="FootnoteReference"/>
        </w:rPr>
        <w:footnoteRef/>
      </w:r>
      <w:r>
        <w:t xml:space="preserve"> </w:t>
      </w:r>
      <w:r w:rsidR="00922A19" w:rsidRPr="00922A19">
        <w:t xml:space="preserve">If he did so, he might also have been interested in some </w:t>
      </w:r>
      <w:hyperlink r:id="rId10" w:history="1">
        <w:r w:rsidR="00922A19" w:rsidRPr="00922A19">
          <w:rPr>
            <w:rStyle w:val="Hyperlink"/>
          </w:rPr>
          <w:t>manifestations</w:t>
        </w:r>
      </w:hyperlink>
      <w:r w:rsidR="00922A19" w:rsidRPr="00922A19">
        <w:t xml:space="preserve"> of practices and activities in the early days of Letchworth that had connections with his own and William Morris’s notions of the ideal social organisation. Meals were provided, but the residents were free to help themselves to whatever was in the pantry, which has a faint echo of Kropotkin’s ideas of the communality of property and produce.  The curriculum included: dancing, swimming in the outdoor pool, craft work, digging in the gardens, and intellectual discussions.</w:t>
      </w:r>
    </w:p>
    <w:p w:rsidR="0010665C" w:rsidRDefault="00922A19" w:rsidP="00922A19">
      <w:pPr>
        <w:pStyle w:val="FootnoteText"/>
      </w:pPr>
      <w:r w:rsidRPr="00922A19">
        <w:t xml:space="preserve">[SLIDE 12]   There was, for instance, the combination of intellectual, creative and physical exercise at the residential ‘Summer Schools’ held at ‘The Cloisters’.  This was an educational institution in </w:t>
      </w:r>
      <w:proofErr w:type="spellStart"/>
      <w:r w:rsidRPr="00922A19">
        <w:t>Barningham</w:t>
      </w:r>
      <w:proofErr w:type="spellEnd"/>
      <w:r w:rsidRPr="00922A19">
        <w:t xml:space="preserve"> Road, Letchworth, built in 1907 and presided over by the formidable Miss Annie Jane Lawrence, a daughter of one of the investors in the Garden City.</w:t>
      </w:r>
      <w:r>
        <w:t xml:space="preserve"> </w:t>
      </w:r>
      <w:r w:rsidR="0010665C">
        <w:t xml:space="preserve">V. </w:t>
      </w:r>
      <w:proofErr w:type="spellStart"/>
      <w:r w:rsidR="0010665C">
        <w:t>Miles</w:t>
      </w:r>
      <w:proofErr w:type="gramStart"/>
      <w:r w:rsidR="0010665C">
        <w:t>,</w:t>
      </w:r>
      <w:r w:rsidR="0010665C" w:rsidRPr="00EF57A3">
        <w:rPr>
          <w:i/>
        </w:rPr>
        <w:t>The</w:t>
      </w:r>
      <w:proofErr w:type="spellEnd"/>
      <w:proofErr w:type="gramEnd"/>
      <w:r w:rsidR="0010665C" w:rsidRPr="00EF57A3">
        <w:rPr>
          <w:i/>
        </w:rPr>
        <w:t xml:space="preserve"> Cloisters,  Letchworth</w:t>
      </w:r>
      <w:r w:rsidR="0010665C">
        <w:t>, revised by C</w:t>
      </w:r>
      <w:r w:rsidR="00BC6967">
        <w:t xml:space="preserve">.R. Graham, Letchworth: </w:t>
      </w:r>
      <w:r w:rsidR="0010665C">
        <w:t>Cloisters Trust 1996-2007, p.21.</w:t>
      </w:r>
    </w:p>
  </w:footnote>
  <w:footnote w:id="33">
    <w:p w:rsidR="00BC6967" w:rsidRDefault="00BC6967">
      <w:pPr>
        <w:pStyle w:val="FootnoteText"/>
      </w:pPr>
      <w:r>
        <w:rPr>
          <w:rStyle w:val="FootnoteReference"/>
        </w:rPr>
        <w:footnoteRef/>
      </w:r>
      <w:r>
        <w:t xml:space="preserve"> </w:t>
      </w:r>
      <w:r w:rsidR="00080EE5" w:rsidRPr="00080EE5">
        <w:t xml:space="preserve">According to the curator of the Letchworth Heritage Collection, Vicky </w:t>
      </w:r>
      <w:proofErr w:type="spellStart"/>
      <w:r w:rsidR="00080EE5" w:rsidRPr="00080EE5">
        <w:t>Axell</w:t>
      </w:r>
      <w:proofErr w:type="spellEnd"/>
      <w:r w:rsidR="00080EE5" w:rsidRPr="00080EE5">
        <w:t xml:space="preserve">, one of these discussions in 1907 even </w:t>
      </w:r>
      <w:proofErr w:type="gramStart"/>
      <w:r w:rsidR="00080EE5" w:rsidRPr="00080EE5">
        <w:t>concerned  Kropotkin’s</w:t>
      </w:r>
      <w:proofErr w:type="gramEnd"/>
      <w:r w:rsidR="00080EE5" w:rsidRPr="00080EE5">
        <w:t xml:space="preserve"> ideas on double-digging with manure, as a means to increase soil productivity in the Cloisters’ gardens.  This vignette provides yet another deliciously tenuous connection between Kropotkin and </w:t>
      </w:r>
      <w:proofErr w:type="spellStart"/>
      <w:r w:rsidR="00080EE5" w:rsidRPr="00080EE5">
        <w:t>Letchworth</w:t>
      </w:r>
      <w:r w:rsidR="00080EE5">
        <w:t>.</w:t>
      </w:r>
      <w:r>
        <w:t>Conversation</w:t>
      </w:r>
      <w:proofErr w:type="spellEnd"/>
      <w:r>
        <w:t xml:space="preserve"> with Vicky </w:t>
      </w:r>
      <w:proofErr w:type="spellStart"/>
      <w:r>
        <w:t>Axell</w:t>
      </w:r>
      <w:proofErr w:type="spellEnd"/>
      <w:r>
        <w:t xml:space="preserve"> at the Letchworth Heritage Collection archive, 20/10/15.</w:t>
      </w:r>
      <w:r w:rsidR="00080EE5" w:rsidRPr="00080EE5">
        <w:rPr>
          <w:sz w:val="24"/>
          <w:szCs w:val="24"/>
        </w:rPr>
        <w:t xml:space="preserve"> </w:t>
      </w:r>
      <w:r w:rsidR="00080EE5" w:rsidRPr="00080EE5">
        <w:t>It would be great to know whether he was aware of this event, or even whether he was present…</w:t>
      </w:r>
    </w:p>
  </w:footnote>
  <w:footnote w:id="34">
    <w:p w:rsidR="00CB4282" w:rsidRDefault="00CB4282">
      <w:pPr>
        <w:pStyle w:val="FootnoteText"/>
      </w:pPr>
      <w:r>
        <w:rPr>
          <w:rStyle w:val="FootnoteReference"/>
        </w:rPr>
        <w:footnoteRef/>
      </w:r>
      <w:r>
        <w:t xml:space="preserve"> </w:t>
      </w:r>
      <w:r w:rsidRPr="00CB4282">
        <w:t>These included: healthy communal living; communal ownership of land and other property; the integration of physical agricultural labour, recreational activities, mental/creative work, and industrial production, all of which could be facilitated and enhanced by scientific farming techniques and technological advances such as electric power</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CE5" w:rsidRPr="00C16C81" w:rsidRDefault="00A13CE5" w:rsidP="00A13CE5">
    <w:pPr>
      <w:pStyle w:val="Header"/>
      <w:rPr>
        <w:b/>
      </w:rPr>
    </w:pPr>
    <w:r w:rsidRPr="00C16C81">
      <w:rPr>
        <w:b/>
      </w:rPr>
      <w:t xml:space="preserve">Utopia! Experiments in Perfection Conference:  </w:t>
    </w:r>
    <w:proofErr w:type="spellStart"/>
    <w:r w:rsidRPr="00C16C81">
      <w:rPr>
        <w:b/>
      </w:rPr>
      <w:t>Spirella</w:t>
    </w:r>
    <w:proofErr w:type="spellEnd"/>
    <w:r w:rsidRPr="00C16C81">
      <w:rPr>
        <w:b/>
      </w:rPr>
      <w:t xml:space="preserve"> Ballroom, Letchworth Garden City, November 12, 2015</w:t>
    </w:r>
  </w:p>
  <w:p w:rsidR="00A13CE5" w:rsidRPr="00C16C81" w:rsidRDefault="00A13CE5" w:rsidP="00A13CE5">
    <w:pPr>
      <w:pStyle w:val="Header"/>
      <w:rPr>
        <w:b/>
      </w:rPr>
    </w:pPr>
  </w:p>
  <w:p w:rsidR="00A13CE5" w:rsidRDefault="00A13CE5" w:rsidP="00A13CE5">
    <w:pPr>
      <w:pStyle w:val="Header"/>
    </w:pPr>
    <w:r w:rsidRPr="00C16C81">
      <w:rPr>
        <w:b/>
      </w:rPr>
      <w:t>Author:</w:t>
    </w:r>
    <w:r>
      <w:t xml:space="preserve"> Dr Pat Simpson, Reader in Social History of Art and Research Tutor, School of Creative Arts, University of Hertfordshire, College Lane, Hatfield, Herts. AL10 9AB.</w:t>
    </w:r>
  </w:p>
  <w:p w:rsidR="00A13CE5" w:rsidRDefault="00A13CE5" w:rsidP="00A13CE5">
    <w:pPr>
      <w:pStyle w:val="Header"/>
    </w:pPr>
  </w:p>
  <w:p w:rsidR="00A13CE5" w:rsidRDefault="00A13CE5" w:rsidP="00A13CE5">
    <w:pPr>
      <w:pStyle w:val="Header"/>
    </w:pPr>
    <w:r>
      <w:rPr>
        <w:b/>
      </w:rPr>
      <w:t xml:space="preserve">Paper </w:t>
    </w:r>
    <w:r w:rsidRPr="00C16C81">
      <w:rPr>
        <w:b/>
      </w:rPr>
      <w:t>Title</w:t>
    </w:r>
    <w:r>
      <w:t>: Prin</w:t>
    </w:r>
    <w:r w:rsidR="006E643A">
      <w:t>ce Peter Kropotkin: Anarchism, Eugenics and the U</w:t>
    </w:r>
    <w:r>
      <w:t>topian ideal of Letchworth Garden City</w:t>
    </w:r>
  </w:p>
  <w:p w:rsidR="00A13CE5" w:rsidRDefault="00A13CE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CE5"/>
    <w:rsid w:val="000010EE"/>
    <w:rsid w:val="00004D0E"/>
    <w:rsid w:val="0000607D"/>
    <w:rsid w:val="000137FF"/>
    <w:rsid w:val="00015297"/>
    <w:rsid w:val="000173C3"/>
    <w:rsid w:val="000218B9"/>
    <w:rsid w:val="00026B58"/>
    <w:rsid w:val="00050AA2"/>
    <w:rsid w:val="00057654"/>
    <w:rsid w:val="0007556F"/>
    <w:rsid w:val="00080EE5"/>
    <w:rsid w:val="000811E1"/>
    <w:rsid w:val="00090E32"/>
    <w:rsid w:val="000947EC"/>
    <w:rsid w:val="000A13DA"/>
    <w:rsid w:val="000A62E0"/>
    <w:rsid w:val="000B3188"/>
    <w:rsid w:val="000C3F89"/>
    <w:rsid w:val="000C5F61"/>
    <w:rsid w:val="000D597C"/>
    <w:rsid w:val="000D6304"/>
    <w:rsid w:val="000E0B05"/>
    <w:rsid w:val="000F2498"/>
    <w:rsid w:val="000F777F"/>
    <w:rsid w:val="00103032"/>
    <w:rsid w:val="00103A63"/>
    <w:rsid w:val="0010665C"/>
    <w:rsid w:val="0012291E"/>
    <w:rsid w:val="001248B4"/>
    <w:rsid w:val="001304BD"/>
    <w:rsid w:val="00144816"/>
    <w:rsid w:val="00144913"/>
    <w:rsid w:val="0015027E"/>
    <w:rsid w:val="001510F5"/>
    <w:rsid w:val="001529C7"/>
    <w:rsid w:val="00153921"/>
    <w:rsid w:val="001714FD"/>
    <w:rsid w:val="0017701B"/>
    <w:rsid w:val="0018112D"/>
    <w:rsid w:val="001843FC"/>
    <w:rsid w:val="00190885"/>
    <w:rsid w:val="00192E61"/>
    <w:rsid w:val="00196423"/>
    <w:rsid w:val="001A6685"/>
    <w:rsid w:val="001B4EFC"/>
    <w:rsid w:val="001E18B5"/>
    <w:rsid w:val="001E6B91"/>
    <w:rsid w:val="001F26B3"/>
    <w:rsid w:val="001F5B8B"/>
    <w:rsid w:val="002038BE"/>
    <w:rsid w:val="00206845"/>
    <w:rsid w:val="00216AA7"/>
    <w:rsid w:val="00251CFF"/>
    <w:rsid w:val="00253085"/>
    <w:rsid w:val="0025573D"/>
    <w:rsid w:val="00256429"/>
    <w:rsid w:val="00264B40"/>
    <w:rsid w:val="00274B05"/>
    <w:rsid w:val="00277294"/>
    <w:rsid w:val="00282555"/>
    <w:rsid w:val="00293066"/>
    <w:rsid w:val="002A4A9D"/>
    <w:rsid w:val="002B61AE"/>
    <w:rsid w:val="002C3F2C"/>
    <w:rsid w:val="002D04B7"/>
    <w:rsid w:val="002D4C0F"/>
    <w:rsid w:val="002E0DDF"/>
    <w:rsid w:val="002E7823"/>
    <w:rsid w:val="002F1941"/>
    <w:rsid w:val="002F37FE"/>
    <w:rsid w:val="002F63E9"/>
    <w:rsid w:val="0032214F"/>
    <w:rsid w:val="00323E2A"/>
    <w:rsid w:val="00324A68"/>
    <w:rsid w:val="003250D4"/>
    <w:rsid w:val="00327573"/>
    <w:rsid w:val="00333875"/>
    <w:rsid w:val="00347633"/>
    <w:rsid w:val="0036736B"/>
    <w:rsid w:val="003769B2"/>
    <w:rsid w:val="00386540"/>
    <w:rsid w:val="003A6AFC"/>
    <w:rsid w:val="003B423D"/>
    <w:rsid w:val="003C060C"/>
    <w:rsid w:val="003C231A"/>
    <w:rsid w:val="003C4C39"/>
    <w:rsid w:val="003C4E53"/>
    <w:rsid w:val="003C6B49"/>
    <w:rsid w:val="003E0AD9"/>
    <w:rsid w:val="003E4CF1"/>
    <w:rsid w:val="003E69B9"/>
    <w:rsid w:val="004115D3"/>
    <w:rsid w:val="00412194"/>
    <w:rsid w:val="00415483"/>
    <w:rsid w:val="00415C1A"/>
    <w:rsid w:val="0043735F"/>
    <w:rsid w:val="0045345A"/>
    <w:rsid w:val="004572D2"/>
    <w:rsid w:val="00457C06"/>
    <w:rsid w:val="00460551"/>
    <w:rsid w:val="00464026"/>
    <w:rsid w:val="00477585"/>
    <w:rsid w:val="00480C6B"/>
    <w:rsid w:val="00492597"/>
    <w:rsid w:val="004A2D15"/>
    <w:rsid w:val="004B2C58"/>
    <w:rsid w:val="004B676D"/>
    <w:rsid w:val="004D2045"/>
    <w:rsid w:val="004D31C3"/>
    <w:rsid w:val="004E51FD"/>
    <w:rsid w:val="00502C7C"/>
    <w:rsid w:val="005040B0"/>
    <w:rsid w:val="005108E5"/>
    <w:rsid w:val="00517C92"/>
    <w:rsid w:val="0053243D"/>
    <w:rsid w:val="00536C7C"/>
    <w:rsid w:val="00541577"/>
    <w:rsid w:val="00561F4F"/>
    <w:rsid w:val="0057780F"/>
    <w:rsid w:val="005A0BAE"/>
    <w:rsid w:val="005C0AAE"/>
    <w:rsid w:val="005D250E"/>
    <w:rsid w:val="005D37D8"/>
    <w:rsid w:val="005E3454"/>
    <w:rsid w:val="005E4BDD"/>
    <w:rsid w:val="005F448B"/>
    <w:rsid w:val="005F6BBB"/>
    <w:rsid w:val="00604C58"/>
    <w:rsid w:val="006052AC"/>
    <w:rsid w:val="00615C31"/>
    <w:rsid w:val="00616545"/>
    <w:rsid w:val="00620A67"/>
    <w:rsid w:val="00622759"/>
    <w:rsid w:val="00626161"/>
    <w:rsid w:val="0062781C"/>
    <w:rsid w:val="00640843"/>
    <w:rsid w:val="006438C9"/>
    <w:rsid w:val="006469BF"/>
    <w:rsid w:val="00651BB4"/>
    <w:rsid w:val="0065748A"/>
    <w:rsid w:val="00666150"/>
    <w:rsid w:val="00666E4E"/>
    <w:rsid w:val="00687AAD"/>
    <w:rsid w:val="006A2F5B"/>
    <w:rsid w:val="006B39FC"/>
    <w:rsid w:val="006B4DBB"/>
    <w:rsid w:val="006C1090"/>
    <w:rsid w:val="006C1961"/>
    <w:rsid w:val="006D43F2"/>
    <w:rsid w:val="006D53B6"/>
    <w:rsid w:val="006E643A"/>
    <w:rsid w:val="006F150F"/>
    <w:rsid w:val="006F4DF0"/>
    <w:rsid w:val="00726C99"/>
    <w:rsid w:val="007412A7"/>
    <w:rsid w:val="00753529"/>
    <w:rsid w:val="00754B97"/>
    <w:rsid w:val="0075667A"/>
    <w:rsid w:val="00766309"/>
    <w:rsid w:val="00770362"/>
    <w:rsid w:val="007724B5"/>
    <w:rsid w:val="00784148"/>
    <w:rsid w:val="007A00E2"/>
    <w:rsid w:val="007A179C"/>
    <w:rsid w:val="007A5B05"/>
    <w:rsid w:val="007D0048"/>
    <w:rsid w:val="007D2556"/>
    <w:rsid w:val="00801DBC"/>
    <w:rsid w:val="008023DE"/>
    <w:rsid w:val="00812BDB"/>
    <w:rsid w:val="008179EB"/>
    <w:rsid w:val="00832866"/>
    <w:rsid w:val="00834E70"/>
    <w:rsid w:val="00872969"/>
    <w:rsid w:val="00872A37"/>
    <w:rsid w:val="008752AC"/>
    <w:rsid w:val="00881D7B"/>
    <w:rsid w:val="0088531D"/>
    <w:rsid w:val="00886FC8"/>
    <w:rsid w:val="00897549"/>
    <w:rsid w:val="008A2C21"/>
    <w:rsid w:val="008A36FD"/>
    <w:rsid w:val="008A5BC7"/>
    <w:rsid w:val="008B3CA3"/>
    <w:rsid w:val="008C219F"/>
    <w:rsid w:val="008C6952"/>
    <w:rsid w:val="008E04C9"/>
    <w:rsid w:val="008E0ED0"/>
    <w:rsid w:val="008E4C16"/>
    <w:rsid w:val="008E5548"/>
    <w:rsid w:val="008E5BB0"/>
    <w:rsid w:val="008E6C62"/>
    <w:rsid w:val="008F1A39"/>
    <w:rsid w:val="008F28DA"/>
    <w:rsid w:val="00905913"/>
    <w:rsid w:val="00911812"/>
    <w:rsid w:val="00911E1F"/>
    <w:rsid w:val="00913AD0"/>
    <w:rsid w:val="00917294"/>
    <w:rsid w:val="00922A19"/>
    <w:rsid w:val="0092301D"/>
    <w:rsid w:val="0092542C"/>
    <w:rsid w:val="00926562"/>
    <w:rsid w:val="00935557"/>
    <w:rsid w:val="0096499F"/>
    <w:rsid w:val="00992FB6"/>
    <w:rsid w:val="009A6C66"/>
    <w:rsid w:val="009B2171"/>
    <w:rsid w:val="009D29F8"/>
    <w:rsid w:val="009D3B77"/>
    <w:rsid w:val="00A0040B"/>
    <w:rsid w:val="00A01CF2"/>
    <w:rsid w:val="00A078EB"/>
    <w:rsid w:val="00A13CE5"/>
    <w:rsid w:val="00A14A1A"/>
    <w:rsid w:val="00A16215"/>
    <w:rsid w:val="00A26F08"/>
    <w:rsid w:val="00A40797"/>
    <w:rsid w:val="00A47C55"/>
    <w:rsid w:val="00A50C24"/>
    <w:rsid w:val="00A56341"/>
    <w:rsid w:val="00A731FB"/>
    <w:rsid w:val="00A7602B"/>
    <w:rsid w:val="00A769B7"/>
    <w:rsid w:val="00A84A9B"/>
    <w:rsid w:val="00AB45AB"/>
    <w:rsid w:val="00AB4F33"/>
    <w:rsid w:val="00AE0D20"/>
    <w:rsid w:val="00AF0ADA"/>
    <w:rsid w:val="00AF5005"/>
    <w:rsid w:val="00B17525"/>
    <w:rsid w:val="00B27868"/>
    <w:rsid w:val="00B30057"/>
    <w:rsid w:val="00B43B58"/>
    <w:rsid w:val="00B47FBD"/>
    <w:rsid w:val="00B53AAA"/>
    <w:rsid w:val="00B544E2"/>
    <w:rsid w:val="00B8139C"/>
    <w:rsid w:val="00B86B04"/>
    <w:rsid w:val="00B93364"/>
    <w:rsid w:val="00B940F8"/>
    <w:rsid w:val="00B973BB"/>
    <w:rsid w:val="00BA2521"/>
    <w:rsid w:val="00BA28E5"/>
    <w:rsid w:val="00BA5F3B"/>
    <w:rsid w:val="00BB1656"/>
    <w:rsid w:val="00BC444E"/>
    <w:rsid w:val="00BC6967"/>
    <w:rsid w:val="00BD4ED4"/>
    <w:rsid w:val="00BE13BC"/>
    <w:rsid w:val="00BE2165"/>
    <w:rsid w:val="00C001DA"/>
    <w:rsid w:val="00C10921"/>
    <w:rsid w:val="00C168FE"/>
    <w:rsid w:val="00C2297D"/>
    <w:rsid w:val="00C254A7"/>
    <w:rsid w:val="00C25BF0"/>
    <w:rsid w:val="00C43FEE"/>
    <w:rsid w:val="00C46E08"/>
    <w:rsid w:val="00C610AE"/>
    <w:rsid w:val="00C63019"/>
    <w:rsid w:val="00C67A1D"/>
    <w:rsid w:val="00C836AC"/>
    <w:rsid w:val="00C863D2"/>
    <w:rsid w:val="00C8726B"/>
    <w:rsid w:val="00CA46DF"/>
    <w:rsid w:val="00CA502E"/>
    <w:rsid w:val="00CA5DB2"/>
    <w:rsid w:val="00CB4282"/>
    <w:rsid w:val="00CD30D2"/>
    <w:rsid w:val="00CE48A3"/>
    <w:rsid w:val="00CE7D5D"/>
    <w:rsid w:val="00CF0DFA"/>
    <w:rsid w:val="00CF18BC"/>
    <w:rsid w:val="00CF21A3"/>
    <w:rsid w:val="00D10AA8"/>
    <w:rsid w:val="00D16AAB"/>
    <w:rsid w:val="00D16C0E"/>
    <w:rsid w:val="00D17403"/>
    <w:rsid w:val="00D2062D"/>
    <w:rsid w:val="00D230FD"/>
    <w:rsid w:val="00D2471D"/>
    <w:rsid w:val="00D261C9"/>
    <w:rsid w:val="00D36575"/>
    <w:rsid w:val="00D37F0D"/>
    <w:rsid w:val="00D53183"/>
    <w:rsid w:val="00D54698"/>
    <w:rsid w:val="00D54F08"/>
    <w:rsid w:val="00D55C51"/>
    <w:rsid w:val="00D60E9F"/>
    <w:rsid w:val="00D67E50"/>
    <w:rsid w:val="00D72E81"/>
    <w:rsid w:val="00D73DBE"/>
    <w:rsid w:val="00D76266"/>
    <w:rsid w:val="00D847F2"/>
    <w:rsid w:val="00DA0179"/>
    <w:rsid w:val="00DB261C"/>
    <w:rsid w:val="00DB5A9C"/>
    <w:rsid w:val="00DC3495"/>
    <w:rsid w:val="00DC51BF"/>
    <w:rsid w:val="00DC5D28"/>
    <w:rsid w:val="00DD19EE"/>
    <w:rsid w:val="00DD3C3F"/>
    <w:rsid w:val="00DF140F"/>
    <w:rsid w:val="00E06C6D"/>
    <w:rsid w:val="00E11A14"/>
    <w:rsid w:val="00E14DAC"/>
    <w:rsid w:val="00E24959"/>
    <w:rsid w:val="00E45AA1"/>
    <w:rsid w:val="00E63B17"/>
    <w:rsid w:val="00E65F5E"/>
    <w:rsid w:val="00E710F3"/>
    <w:rsid w:val="00E71E9D"/>
    <w:rsid w:val="00E75D7B"/>
    <w:rsid w:val="00E925BB"/>
    <w:rsid w:val="00E97D40"/>
    <w:rsid w:val="00EA257B"/>
    <w:rsid w:val="00EA41B6"/>
    <w:rsid w:val="00EB2927"/>
    <w:rsid w:val="00EB3AA6"/>
    <w:rsid w:val="00EC5B86"/>
    <w:rsid w:val="00ED33C9"/>
    <w:rsid w:val="00ED6360"/>
    <w:rsid w:val="00EE0102"/>
    <w:rsid w:val="00EE4787"/>
    <w:rsid w:val="00EE6617"/>
    <w:rsid w:val="00EF57A3"/>
    <w:rsid w:val="00F03B0A"/>
    <w:rsid w:val="00F13074"/>
    <w:rsid w:val="00F13525"/>
    <w:rsid w:val="00F15FD5"/>
    <w:rsid w:val="00F33C20"/>
    <w:rsid w:val="00F420C8"/>
    <w:rsid w:val="00F42111"/>
    <w:rsid w:val="00F5246A"/>
    <w:rsid w:val="00F52506"/>
    <w:rsid w:val="00F54504"/>
    <w:rsid w:val="00F676B3"/>
    <w:rsid w:val="00F80BF4"/>
    <w:rsid w:val="00F848D6"/>
    <w:rsid w:val="00FA463D"/>
    <w:rsid w:val="00FA75A3"/>
    <w:rsid w:val="00FB318B"/>
    <w:rsid w:val="00FB34AA"/>
    <w:rsid w:val="00FC1AE6"/>
    <w:rsid w:val="00FD27BE"/>
    <w:rsid w:val="00FF48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3CE5"/>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3C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3CE5"/>
  </w:style>
  <w:style w:type="paragraph" w:styleId="Footer">
    <w:name w:val="footer"/>
    <w:basedOn w:val="Normal"/>
    <w:link w:val="FooterChar"/>
    <w:uiPriority w:val="99"/>
    <w:unhideWhenUsed/>
    <w:rsid w:val="00A13C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3CE5"/>
  </w:style>
  <w:style w:type="paragraph" w:styleId="BalloonText">
    <w:name w:val="Balloon Text"/>
    <w:basedOn w:val="Normal"/>
    <w:link w:val="BalloonTextChar"/>
    <w:uiPriority w:val="99"/>
    <w:semiHidden/>
    <w:unhideWhenUsed/>
    <w:rsid w:val="00A13C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3CE5"/>
    <w:rPr>
      <w:rFonts w:ascii="Tahoma" w:hAnsi="Tahoma" w:cs="Tahoma"/>
      <w:sz w:val="16"/>
      <w:szCs w:val="16"/>
    </w:rPr>
  </w:style>
  <w:style w:type="paragraph" w:styleId="FootnoteText">
    <w:name w:val="footnote text"/>
    <w:basedOn w:val="Normal"/>
    <w:link w:val="FootnoteTextChar"/>
    <w:uiPriority w:val="99"/>
    <w:semiHidden/>
    <w:unhideWhenUsed/>
    <w:rsid w:val="0015392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53921"/>
    <w:rPr>
      <w:sz w:val="20"/>
      <w:szCs w:val="20"/>
    </w:rPr>
  </w:style>
  <w:style w:type="character" w:styleId="FootnoteReference">
    <w:name w:val="footnote reference"/>
    <w:basedOn w:val="DefaultParagraphFont"/>
    <w:uiPriority w:val="99"/>
    <w:semiHidden/>
    <w:unhideWhenUsed/>
    <w:rsid w:val="00153921"/>
    <w:rPr>
      <w:vertAlign w:val="superscript"/>
    </w:rPr>
  </w:style>
  <w:style w:type="character" w:styleId="Hyperlink">
    <w:name w:val="Hyperlink"/>
    <w:basedOn w:val="DefaultParagraphFont"/>
    <w:uiPriority w:val="99"/>
    <w:unhideWhenUsed/>
    <w:rsid w:val="00DA017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3CE5"/>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3C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3CE5"/>
  </w:style>
  <w:style w:type="paragraph" w:styleId="Footer">
    <w:name w:val="footer"/>
    <w:basedOn w:val="Normal"/>
    <w:link w:val="FooterChar"/>
    <w:uiPriority w:val="99"/>
    <w:unhideWhenUsed/>
    <w:rsid w:val="00A13C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3CE5"/>
  </w:style>
  <w:style w:type="paragraph" w:styleId="BalloonText">
    <w:name w:val="Balloon Text"/>
    <w:basedOn w:val="Normal"/>
    <w:link w:val="BalloonTextChar"/>
    <w:uiPriority w:val="99"/>
    <w:semiHidden/>
    <w:unhideWhenUsed/>
    <w:rsid w:val="00A13C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3CE5"/>
    <w:rPr>
      <w:rFonts w:ascii="Tahoma" w:hAnsi="Tahoma" w:cs="Tahoma"/>
      <w:sz w:val="16"/>
      <w:szCs w:val="16"/>
    </w:rPr>
  </w:style>
  <w:style w:type="paragraph" w:styleId="FootnoteText">
    <w:name w:val="footnote text"/>
    <w:basedOn w:val="Normal"/>
    <w:link w:val="FootnoteTextChar"/>
    <w:uiPriority w:val="99"/>
    <w:semiHidden/>
    <w:unhideWhenUsed/>
    <w:rsid w:val="0015392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53921"/>
    <w:rPr>
      <w:sz w:val="20"/>
      <w:szCs w:val="20"/>
    </w:rPr>
  </w:style>
  <w:style w:type="character" w:styleId="FootnoteReference">
    <w:name w:val="footnote reference"/>
    <w:basedOn w:val="DefaultParagraphFont"/>
    <w:uiPriority w:val="99"/>
    <w:semiHidden/>
    <w:unhideWhenUsed/>
    <w:rsid w:val="00153921"/>
    <w:rPr>
      <w:vertAlign w:val="superscript"/>
    </w:rPr>
  </w:style>
  <w:style w:type="character" w:styleId="Hyperlink">
    <w:name w:val="Hyperlink"/>
    <w:basedOn w:val="DefaultParagraphFont"/>
    <w:uiPriority w:val="99"/>
    <w:unhideWhenUsed/>
    <w:rsid w:val="00DA017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wilsoncenter.org/sites/default/files/op250_russian_revolutionay_movement_senn_1993.pdf" TargetMode="External"/><Relationship Id="rId3" Type="http://schemas.openxmlformats.org/officeDocument/2006/relationships/hyperlink" Target="http://www.worldsocialism.org/spgb/socialist-standard/2000s/2000/no-1150-june-2000/john-ruskin-1819-1900-socialist-perspective" TargetMode="External"/><Relationship Id="rId7" Type="http://schemas.openxmlformats.org/officeDocument/2006/relationships/hyperlink" Target="http://encyclopedia2.thefreedictionary.com/Nikolai+Mezentsov" TargetMode="External"/><Relationship Id="rId2" Type="http://schemas.openxmlformats.org/officeDocument/2006/relationships/hyperlink" Target="https://www.marxists.org/archive/morris/works/1884/as/as.htm" TargetMode="External"/><Relationship Id="rId1" Type="http://schemas.openxmlformats.org/officeDocument/2006/relationships/hyperlink" Target="http://morrisedition.lib.uiowa.edu/newstext.html" TargetMode="External"/><Relationship Id="rId6" Type="http://schemas.openxmlformats.org/officeDocument/2006/relationships/hyperlink" Target="http://urbanplanning.library.cornell.edu/DOCS/howard.htm" TargetMode="External"/><Relationship Id="rId5" Type="http://schemas.openxmlformats.org/officeDocument/2006/relationships/hyperlink" Target="http://morrisedition.lib.uiowa.edu/newstext.html" TargetMode="External"/><Relationship Id="rId10" Type="http://schemas.openxmlformats.org/officeDocument/2006/relationships/hyperlink" Target="ar" TargetMode="External"/><Relationship Id="rId4" Type="http://schemas.openxmlformats.org/officeDocument/2006/relationships/hyperlink" Target="http://www.nytimes.com/2005/09/11/books/review/the-true-classic-of-terrorism.html?_r=0" TargetMode="External"/><Relationship Id="rId9" Type="http://schemas.openxmlformats.org/officeDocument/2006/relationships/hyperlink" Target="http://www.britannica.com/biography/Peter-Alekseyevich-Kropotk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B68AFD-3F2B-47B5-A795-3855B57D3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6868</TotalTime>
  <Pages>8</Pages>
  <Words>1918</Words>
  <Characters>10937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colqpas</dc:creator>
  <cp:lastModifiedBy>colqpas</cp:lastModifiedBy>
  <cp:revision>193</cp:revision>
  <cp:lastPrinted>2015-10-24T18:28:00Z</cp:lastPrinted>
  <dcterms:created xsi:type="dcterms:W3CDTF">2015-10-18T16:02:00Z</dcterms:created>
  <dcterms:modified xsi:type="dcterms:W3CDTF">2015-10-30T13:25:00Z</dcterms:modified>
</cp:coreProperties>
</file>