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457C23" w14:textId="17F9636D" w:rsidR="00AE3E37" w:rsidRDefault="002D49EC" w:rsidP="00494130">
      <w:pPr>
        <w:pStyle w:val="Heading1"/>
        <w:spacing w:before="170"/>
        <w:ind w:left="0"/>
      </w:pPr>
      <w:r w:rsidRPr="002D49EC">
        <w:rPr>
          <w:color w:val="337AB7"/>
        </w:rPr>
        <w:t>Pharmacoeconomic evaluation and its application in clinical guideline development</w:t>
      </w:r>
    </w:p>
    <w:p w14:paraId="3F457C24" w14:textId="35D7F778" w:rsidR="005973B9" w:rsidRDefault="002D49EC" w:rsidP="005973B9">
      <w:pPr>
        <w:pStyle w:val="BodyText"/>
        <w:spacing w:before="73" w:line="198" w:lineRule="exact"/>
        <w:ind w:left="100" w:right="5987"/>
        <w:rPr>
          <w:rFonts w:ascii="Arial"/>
        </w:rPr>
      </w:pPr>
      <w:r>
        <w:rPr>
          <w:rFonts w:ascii="Arial"/>
        </w:rPr>
        <w:t>Dalia M Dawoud</w:t>
      </w:r>
      <w:r w:rsidR="00065718">
        <w:rPr>
          <w:rFonts w:ascii="Arial"/>
        </w:rPr>
        <w:t xml:space="preserve">, </w:t>
      </w:r>
      <w:r>
        <w:rPr>
          <w:rFonts w:ascii="Arial"/>
        </w:rPr>
        <w:t>University of Hertfordshire</w:t>
      </w:r>
      <w:r w:rsidR="005973B9">
        <w:rPr>
          <w:rFonts w:ascii="Arial"/>
        </w:rPr>
        <w:t xml:space="preserve">, </w:t>
      </w:r>
      <w:r>
        <w:rPr>
          <w:rFonts w:ascii="Arial"/>
        </w:rPr>
        <w:t>UK</w:t>
      </w:r>
      <w:r w:rsidR="005973B9">
        <w:rPr>
          <w:rFonts w:ascii="Arial"/>
        </w:rPr>
        <w:t xml:space="preserve"> </w:t>
      </w:r>
    </w:p>
    <w:p w14:paraId="3F457C25" w14:textId="77777777" w:rsidR="00AE3E37" w:rsidRDefault="00AE3E37">
      <w:pPr>
        <w:pStyle w:val="BodyText"/>
        <w:rPr>
          <w:rFonts w:ascii="Arial"/>
          <w:sz w:val="20"/>
        </w:rPr>
      </w:pPr>
    </w:p>
    <w:p w14:paraId="3F457C26" w14:textId="77777777" w:rsidR="00AE3E37" w:rsidRDefault="00AE3E37">
      <w:pPr>
        <w:pStyle w:val="BodyText"/>
        <w:spacing w:before="3"/>
        <w:rPr>
          <w:rFonts w:ascii="Arial"/>
          <w:sz w:val="21"/>
        </w:rPr>
      </w:pPr>
    </w:p>
    <w:p w14:paraId="3F457C27" w14:textId="77777777" w:rsidR="00AE3E37" w:rsidRDefault="00AE3E37">
      <w:pPr>
        <w:rPr>
          <w:rFonts w:ascii="Arial"/>
          <w:sz w:val="21"/>
        </w:rPr>
        <w:sectPr w:rsidR="00AE3E37">
          <w:headerReference w:type="default" r:id="rId7"/>
          <w:footerReference w:type="default" r:id="rId8"/>
          <w:type w:val="continuous"/>
          <w:pgSz w:w="11910" w:h="16840"/>
          <w:pgMar w:top="1740" w:right="600" w:bottom="840" w:left="620" w:header="541" w:footer="642" w:gutter="0"/>
          <w:cols w:space="720"/>
        </w:sectPr>
      </w:pPr>
    </w:p>
    <w:p w14:paraId="3F457C28" w14:textId="393D9408" w:rsidR="00AE3E37" w:rsidRDefault="00A9710C">
      <w:pPr>
        <w:pStyle w:val="Heading3"/>
        <w:spacing w:before="147"/>
        <w:jc w:val="both"/>
      </w:pPr>
      <w:r>
        <w:rPr>
          <w:color w:val="BF5A14"/>
        </w:rPr>
        <w:t>Abstract</w:t>
      </w:r>
      <w:r w:rsidR="00404E5B">
        <w:rPr>
          <w:color w:val="BF5A14"/>
        </w:rPr>
        <w:t xml:space="preserve"> </w:t>
      </w:r>
    </w:p>
    <w:p w14:paraId="1A240A40" w14:textId="38C1EF7D" w:rsidR="004A4BBB" w:rsidRDefault="002D49EC" w:rsidP="004A4BBB">
      <w:pPr>
        <w:pStyle w:val="BodyText"/>
        <w:spacing w:before="90" w:line="280" w:lineRule="auto"/>
        <w:ind w:left="100"/>
        <w:jc w:val="both"/>
      </w:pPr>
      <w:r>
        <w:t xml:space="preserve">Pharmacoeconomic evaluation is an analysis technique that combines data on both costs and health outcomes to allow clinical decision makers to assess the </w:t>
      </w:r>
      <w:r w:rsidR="005F0614">
        <w:t>cost effectiveness</w:t>
      </w:r>
      <w:r>
        <w:t xml:space="preserve"> of pharmaceutical products and services. </w:t>
      </w:r>
      <w:r w:rsidR="004A4BBB">
        <w:t>It is an important tool for decision makers when allocating the scarce resources available for their healthcare systems. One particularly important application of pharmacoeconomic evaluation is its use in clinical guideline development. The incorporation of pharmacoeconomic evaluation in these guidelines ensures that the pharmaceutical products and services recommended</w:t>
      </w:r>
      <w:r w:rsidR="00F2690B">
        <w:t xml:space="preserve"> for use on a large scale</w:t>
      </w:r>
      <w:r w:rsidR="004A4BBB">
        <w:t xml:space="preserve"> represent value </w:t>
      </w:r>
      <w:r w:rsidR="006010BC">
        <w:t xml:space="preserve">for </w:t>
      </w:r>
      <w:r w:rsidR="004A4BBB">
        <w:t xml:space="preserve">money and ensures that best use is made of the finite resources available. </w:t>
      </w:r>
      <w:r w:rsidR="00F2690B">
        <w:t xml:space="preserve">The National Institute for Health and Care Excellence (NICE) in the UK is leading the way in utilizing economic evidence to inform its recommendations for clinicians and has well-developed methods for using economic evidence in its guidelines. </w:t>
      </w:r>
    </w:p>
    <w:p w14:paraId="3F457C2B" w14:textId="6A569DFA" w:rsidR="00AE3E37" w:rsidRPr="004A4BBB" w:rsidRDefault="004A4BBB" w:rsidP="004A4BBB">
      <w:pPr>
        <w:pStyle w:val="BodyText"/>
        <w:spacing w:before="90" w:line="280" w:lineRule="auto"/>
        <w:ind w:left="100"/>
        <w:jc w:val="both"/>
      </w:pPr>
      <w:r>
        <w:t>In this ta</w:t>
      </w:r>
      <w:r w:rsidR="00F2690B">
        <w:t xml:space="preserve">lk, </w:t>
      </w:r>
      <w:r w:rsidR="00EF119C">
        <w:t xml:space="preserve">a brief introduction to the types of economic evaluations will be given. The </w:t>
      </w:r>
      <w:r>
        <w:t xml:space="preserve">concept and importance of clinical guidelines will </w:t>
      </w:r>
      <w:r w:rsidR="00EF119C">
        <w:t xml:space="preserve">also </w:t>
      </w:r>
      <w:r>
        <w:t xml:space="preserve">be explained with examples of the different approaches to </w:t>
      </w:r>
      <w:r w:rsidR="00EF119C">
        <w:t>their</w:t>
      </w:r>
      <w:r>
        <w:t xml:space="preserve"> development</w:t>
      </w:r>
      <w:r w:rsidR="00EF119C">
        <w:t xml:space="preserve"> given,</w:t>
      </w:r>
      <w:r>
        <w:t xml:space="preserve"> in terms of type of evidence, inclusion of pharmacoeconomic evaluations and recommendations made. </w:t>
      </w:r>
      <w:r w:rsidR="00F2690B">
        <w:t>Examples will be given from NICE guidelines to illustrate how the evidence from pharmacoeconomic evaluations informed the guideline recommendation</w:t>
      </w:r>
      <w:r w:rsidR="006010BC">
        <w:t>s</w:t>
      </w:r>
      <w:r w:rsidR="00F2690B">
        <w:t>, drawing on the speaker’s personal experience in conducting these pharmacoeconomic evaluations.</w:t>
      </w:r>
    </w:p>
    <w:p w14:paraId="3F457C2C" w14:textId="0A58EC56" w:rsidR="005973B9" w:rsidRDefault="005973B9" w:rsidP="005973B9">
      <w:pPr>
        <w:spacing w:line="204" w:lineRule="exact"/>
        <w:rPr>
          <w:rFonts w:ascii="Arial"/>
          <w:b/>
          <w:sz w:val="20"/>
        </w:rPr>
      </w:pPr>
      <w:r>
        <w:rPr>
          <w:rFonts w:ascii="Arial"/>
          <w:b/>
          <w:color w:val="BF5A14"/>
          <w:sz w:val="20"/>
        </w:rPr>
        <w:br/>
      </w:r>
      <w:r>
        <w:rPr>
          <w:rFonts w:ascii="Arial"/>
          <w:b/>
          <w:color w:val="BF5A14"/>
          <w:sz w:val="20"/>
        </w:rPr>
        <w:t xml:space="preserve">Recent Publications </w:t>
      </w:r>
    </w:p>
    <w:p w14:paraId="18A56A09" w14:textId="0BC87DFA" w:rsidR="002D49EC" w:rsidRDefault="002D49EC" w:rsidP="0058351A">
      <w:pPr>
        <w:pStyle w:val="ListParagraph"/>
        <w:numPr>
          <w:ilvl w:val="0"/>
          <w:numId w:val="3"/>
        </w:numPr>
        <w:tabs>
          <w:tab w:val="left" w:pos="384"/>
        </w:tabs>
        <w:spacing w:before="103" w:line="216" w:lineRule="exact"/>
        <w:ind w:right="138"/>
        <w:rPr>
          <w:sz w:val="18"/>
        </w:rPr>
      </w:pPr>
      <w:r>
        <w:rPr>
          <w:sz w:val="18"/>
        </w:rPr>
        <w:t>Dawoud D, Baines D. “Economic Evaluation and its Types”</w:t>
      </w:r>
      <w:r w:rsidR="005F0614">
        <w:rPr>
          <w:sz w:val="18"/>
        </w:rPr>
        <w:t xml:space="preserve">. </w:t>
      </w:r>
      <w:r w:rsidR="0058351A">
        <w:rPr>
          <w:sz w:val="18"/>
        </w:rPr>
        <w:t>In “</w:t>
      </w:r>
      <w:r w:rsidR="0058351A" w:rsidRPr="0058351A">
        <w:rPr>
          <w:sz w:val="18"/>
        </w:rPr>
        <w:t>Economic Evaluation o</w:t>
      </w:r>
      <w:r w:rsidR="0058351A">
        <w:rPr>
          <w:sz w:val="18"/>
        </w:rPr>
        <w:t>f Pharmacy Services”. By:</w:t>
      </w:r>
      <w:r w:rsidR="0058351A" w:rsidRPr="0058351A">
        <w:rPr>
          <w:sz w:val="18"/>
        </w:rPr>
        <w:t xml:space="preserve"> Zaheer-</w:t>
      </w:r>
      <w:proofErr w:type="spellStart"/>
      <w:r w:rsidR="0058351A" w:rsidRPr="0058351A">
        <w:rPr>
          <w:sz w:val="18"/>
        </w:rPr>
        <w:t>Ud</w:t>
      </w:r>
      <w:proofErr w:type="spellEnd"/>
      <w:r w:rsidR="0058351A" w:rsidRPr="0058351A">
        <w:rPr>
          <w:sz w:val="18"/>
        </w:rPr>
        <w:t>-Din Baba</w:t>
      </w:r>
      <w:r w:rsidR="0058351A">
        <w:rPr>
          <w:sz w:val="18"/>
        </w:rPr>
        <w:t>r;</w:t>
      </w:r>
      <w:r w:rsidR="005F0614">
        <w:rPr>
          <w:sz w:val="18"/>
        </w:rPr>
        <w:t xml:space="preserve"> </w:t>
      </w:r>
      <w:r w:rsidR="0058351A">
        <w:rPr>
          <w:sz w:val="18"/>
        </w:rPr>
        <w:t xml:space="preserve">1st Edition; </w:t>
      </w:r>
      <w:r w:rsidR="006010BC">
        <w:rPr>
          <w:sz w:val="18"/>
        </w:rPr>
        <w:t>2017; Academic Press</w:t>
      </w:r>
      <w:r w:rsidR="0058351A">
        <w:rPr>
          <w:sz w:val="18"/>
        </w:rPr>
        <w:t>.</w:t>
      </w:r>
    </w:p>
    <w:p w14:paraId="0FD34F75" w14:textId="0F487761" w:rsidR="006010BC" w:rsidRDefault="00C0739C" w:rsidP="00C0739C">
      <w:pPr>
        <w:pStyle w:val="ListParagraph"/>
        <w:numPr>
          <w:ilvl w:val="0"/>
          <w:numId w:val="3"/>
        </w:numPr>
        <w:tabs>
          <w:tab w:val="left" w:pos="384"/>
        </w:tabs>
        <w:spacing w:before="103" w:line="216" w:lineRule="exact"/>
        <w:ind w:right="138"/>
        <w:rPr>
          <w:sz w:val="18"/>
        </w:rPr>
      </w:pPr>
      <w:r w:rsidRPr="00C0739C">
        <w:rPr>
          <w:sz w:val="18"/>
        </w:rPr>
        <w:t xml:space="preserve">Dawoud D, </w:t>
      </w:r>
      <w:proofErr w:type="spellStart"/>
      <w:r w:rsidRPr="00C0739C">
        <w:rPr>
          <w:sz w:val="18"/>
        </w:rPr>
        <w:t>Fenu</w:t>
      </w:r>
      <w:proofErr w:type="spellEnd"/>
      <w:r w:rsidRPr="00C0739C">
        <w:rPr>
          <w:sz w:val="18"/>
        </w:rPr>
        <w:t xml:space="preserve"> E, Higgins B, </w:t>
      </w:r>
      <w:proofErr w:type="spellStart"/>
      <w:r w:rsidRPr="00C0739C">
        <w:rPr>
          <w:sz w:val="18"/>
        </w:rPr>
        <w:t>Wonderling</w:t>
      </w:r>
      <w:proofErr w:type="spellEnd"/>
      <w:r w:rsidRPr="00C0739C">
        <w:rPr>
          <w:sz w:val="18"/>
        </w:rPr>
        <w:t xml:space="preserve"> D, </w:t>
      </w:r>
      <w:proofErr w:type="spellStart"/>
      <w:r w:rsidRPr="00C0739C">
        <w:rPr>
          <w:sz w:val="18"/>
        </w:rPr>
        <w:t>Amiel</w:t>
      </w:r>
      <w:proofErr w:type="spellEnd"/>
      <w:r w:rsidRPr="00C0739C">
        <w:rPr>
          <w:sz w:val="18"/>
        </w:rPr>
        <w:t xml:space="preserve"> SA. Basal Insulin Regimens for Adults with Type 1 Diabetes Mellitus: A Cost-Utility Analy</w:t>
      </w:r>
      <w:r w:rsidR="00CC26CE">
        <w:rPr>
          <w:sz w:val="18"/>
        </w:rPr>
        <w:t>sis. Value in Health. 2017</w:t>
      </w:r>
      <w:r w:rsidRPr="00C0739C">
        <w:rPr>
          <w:sz w:val="18"/>
        </w:rPr>
        <w:t>;</w:t>
      </w:r>
      <w:r w:rsidR="00CC26CE">
        <w:rPr>
          <w:sz w:val="18"/>
        </w:rPr>
        <w:t xml:space="preserve"> </w:t>
      </w:r>
      <w:r w:rsidRPr="00C0739C">
        <w:rPr>
          <w:sz w:val="18"/>
        </w:rPr>
        <w:t>20(10):1279-87.</w:t>
      </w:r>
    </w:p>
    <w:p w14:paraId="36A8E55C" w14:textId="77777777" w:rsidR="00C0739C" w:rsidRDefault="00C0739C" w:rsidP="00C0739C">
      <w:pPr>
        <w:pStyle w:val="ListParagraph"/>
        <w:numPr>
          <w:ilvl w:val="0"/>
          <w:numId w:val="3"/>
        </w:numPr>
        <w:tabs>
          <w:tab w:val="left" w:pos="384"/>
        </w:tabs>
        <w:spacing w:before="103" w:line="216" w:lineRule="exact"/>
        <w:ind w:right="138"/>
        <w:rPr>
          <w:sz w:val="18"/>
        </w:rPr>
      </w:pPr>
      <w:proofErr w:type="spellStart"/>
      <w:r w:rsidRPr="006010BC">
        <w:rPr>
          <w:sz w:val="18"/>
        </w:rPr>
        <w:t>Amiel</w:t>
      </w:r>
      <w:proofErr w:type="spellEnd"/>
      <w:r w:rsidRPr="006010BC">
        <w:rPr>
          <w:sz w:val="18"/>
        </w:rPr>
        <w:t xml:space="preserve"> SA, </w:t>
      </w:r>
      <w:proofErr w:type="spellStart"/>
      <w:r w:rsidRPr="006010BC">
        <w:rPr>
          <w:sz w:val="18"/>
        </w:rPr>
        <w:t>Pursey</w:t>
      </w:r>
      <w:proofErr w:type="spellEnd"/>
      <w:r w:rsidRPr="006010BC">
        <w:rPr>
          <w:sz w:val="18"/>
        </w:rPr>
        <w:t xml:space="preserve"> N, Higgins B, Dawoud D. Diagnosis and management of type 1 diabetes in adults: summary of updated NICE guidance. BMJ: British</w:t>
      </w:r>
      <w:r>
        <w:rPr>
          <w:sz w:val="18"/>
        </w:rPr>
        <w:t xml:space="preserve"> Medical Journal (Online). 2015; </w:t>
      </w:r>
      <w:r w:rsidRPr="006010BC">
        <w:rPr>
          <w:sz w:val="18"/>
        </w:rPr>
        <w:t>26;351.</w:t>
      </w:r>
    </w:p>
    <w:p w14:paraId="0E63A677" w14:textId="31326D0E" w:rsidR="00C0739C" w:rsidRDefault="00C0739C" w:rsidP="00C0739C">
      <w:pPr>
        <w:pStyle w:val="ListParagraph"/>
        <w:numPr>
          <w:ilvl w:val="0"/>
          <w:numId w:val="3"/>
        </w:numPr>
        <w:tabs>
          <w:tab w:val="left" w:pos="384"/>
        </w:tabs>
        <w:spacing w:before="103" w:line="216" w:lineRule="exact"/>
        <w:ind w:right="138"/>
        <w:rPr>
          <w:sz w:val="18"/>
        </w:rPr>
      </w:pPr>
      <w:r w:rsidRPr="00C0739C">
        <w:rPr>
          <w:sz w:val="18"/>
        </w:rPr>
        <w:t xml:space="preserve">Neilson J, O’Neill F, Dawoud D, </w:t>
      </w:r>
      <w:proofErr w:type="spellStart"/>
      <w:r w:rsidRPr="00C0739C">
        <w:rPr>
          <w:sz w:val="18"/>
        </w:rPr>
        <w:t>Crean</w:t>
      </w:r>
      <w:proofErr w:type="spellEnd"/>
      <w:r w:rsidRPr="00C0739C">
        <w:rPr>
          <w:sz w:val="18"/>
        </w:rPr>
        <w:t xml:space="preserve"> P. Intravenous fluids in children and young people: summary of NICE guidance. BMJ. 2015; 351:h6388</w:t>
      </w:r>
      <w:r w:rsidR="00CC26CE">
        <w:rPr>
          <w:sz w:val="18"/>
        </w:rPr>
        <w:t>.</w:t>
      </w:r>
    </w:p>
    <w:p w14:paraId="21C1E4E2" w14:textId="2B19AC4E" w:rsidR="00C0739C" w:rsidRDefault="00C0739C" w:rsidP="00C0739C">
      <w:pPr>
        <w:pStyle w:val="ListParagraph"/>
        <w:numPr>
          <w:ilvl w:val="0"/>
          <w:numId w:val="3"/>
        </w:numPr>
        <w:tabs>
          <w:tab w:val="left" w:pos="384"/>
        </w:tabs>
        <w:spacing w:before="103" w:line="216" w:lineRule="exact"/>
        <w:ind w:right="138"/>
        <w:rPr>
          <w:sz w:val="18"/>
        </w:rPr>
      </w:pPr>
      <w:r w:rsidRPr="00C0739C">
        <w:rPr>
          <w:sz w:val="18"/>
        </w:rPr>
        <w:t xml:space="preserve">Keeney E, Dawoud D, Dias S. Different Methods for Modelling Severe </w:t>
      </w:r>
      <w:proofErr w:type="spellStart"/>
      <w:r w:rsidRPr="00C0739C">
        <w:rPr>
          <w:sz w:val="18"/>
        </w:rPr>
        <w:t>Hypoglycaemic</w:t>
      </w:r>
      <w:proofErr w:type="spellEnd"/>
      <w:r w:rsidRPr="00C0739C">
        <w:rPr>
          <w:sz w:val="18"/>
        </w:rPr>
        <w:t xml:space="preserve"> Events: Implications for Effectiveness and Cost-Effectiveness Analys</w:t>
      </w:r>
      <w:r w:rsidR="00CC26CE">
        <w:rPr>
          <w:sz w:val="18"/>
        </w:rPr>
        <w:t>es. Pharmacoeconomics. 2018; 36</w:t>
      </w:r>
      <w:r w:rsidRPr="00C0739C">
        <w:rPr>
          <w:sz w:val="18"/>
        </w:rPr>
        <w:t>(5): 523–532.</w:t>
      </w:r>
    </w:p>
    <w:p w14:paraId="3F457C33" w14:textId="7E8480C7" w:rsidR="00AE3E37" w:rsidRPr="008756E6" w:rsidRDefault="00FA3D81" w:rsidP="00294301">
      <w:pPr>
        <w:pStyle w:val="ListParagraph"/>
        <w:numPr>
          <w:ilvl w:val="0"/>
          <w:numId w:val="3"/>
        </w:numPr>
        <w:tabs>
          <w:tab w:val="left" w:pos="384"/>
        </w:tabs>
        <w:spacing w:before="103" w:line="216" w:lineRule="exact"/>
        <w:ind w:right="117"/>
      </w:pPr>
      <w:r w:rsidRPr="0095516E">
        <w:rPr>
          <w:sz w:val="18"/>
        </w:rPr>
        <w:t>Dawoud D, Haines A, Wonderling D et al. Using pharmacoeconomic evaluations to inform national guideline recommendations: an example from the U.K. FIP Pharmacy Practice Research Conference, Lisbon, Portugal 25-27 June 2018.</w:t>
      </w:r>
    </w:p>
    <w:p w14:paraId="3F4B987D" w14:textId="77777777" w:rsidR="00AE3E37" w:rsidRDefault="008756E6">
      <w:pPr>
        <w:spacing w:line="200" w:lineRule="exact"/>
        <w:jc w:val="both"/>
        <w:rPr>
          <w:rFonts w:ascii="Calibri" w:hAnsi="Calibri"/>
        </w:rPr>
      </w:pPr>
      <w:r>
        <w:rPr>
          <w:rFonts w:ascii="Calibri" w:hAnsi="Calibri"/>
        </w:rPr>
        <w:t xml:space="preserve">  </w:t>
      </w:r>
    </w:p>
    <w:p w14:paraId="0D34B976" w14:textId="77777777" w:rsidR="00EF119C" w:rsidRDefault="00EF119C">
      <w:pPr>
        <w:spacing w:line="200" w:lineRule="exact"/>
        <w:jc w:val="both"/>
        <w:rPr>
          <w:rFonts w:ascii="Calibri" w:hAnsi="Calibri"/>
        </w:rPr>
      </w:pPr>
    </w:p>
    <w:p w14:paraId="4CC338F2" w14:textId="77777777" w:rsidR="00EF119C" w:rsidRDefault="00EF119C">
      <w:pPr>
        <w:spacing w:line="200" w:lineRule="exact"/>
        <w:jc w:val="both"/>
        <w:rPr>
          <w:rFonts w:ascii="Calibri" w:hAnsi="Calibri"/>
        </w:rPr>
      </w:pPr>
    </w:p>
    <w:p w14:paraId="3F457C34" w14:textId="3ABBAC06" w:rsidR="00EF119C" w:rsidRDefault="00EF119C">
      <w:pPr>
        <w:spacing w:line="200" w:lineRule="exact"/>
        <w:jc w:val="both"/>
        <w:rPr>
          <w:rFonts w:ascii="Calibri" w:hAnsi="Calibri"/>
        </w:rPr>
        <w:sectPr w:rsidR="00EF119C">
          <w:type w:val="continuous"/>
          <w:pgSz w:w="11910" w:h="16840"/>
          <w:pgMar w:top="1740" w:right="600" w:bottom="840" w:left="620" w:header="720" w:footer="720" w:gutter="0"/>
          <w:cols w:num="2" w:space="720" w:equalWidth="0">
            <w:col w:w="5214" w:space="138"/>
            <w:col w:w="5338"/>
          </w:cols>
        </w:sectPr>
      </w:pPr>
    </w:p>
    <w:p w14:paraId="3F457C35" w14:textId="77777777" w:rsidR="00AE3E37" w:rsidRDefault="00AE3E37">
      <w:pPr>
        <w:pStyle w:val="BodyText"/>
        <w:rPr>
          <w:rFonts w:ascii="Calibri"/>
          <w:sz w:val="20"/>
        </w:rPr>
      </w:pPr>
    </w:p>
    <w:p w14:paraId="3F457C36" w14:textId="77777777" w:rsidR="00AE3E37" w:rsidRDefault="00292ED9">
      <w:pPr>
        <w:pStyle w:val="BodyText"/>
        <w:spacing w:line="40" w:lineRule="exact"/>
        <w:ind w:left="2202"/>
        <w:rPr>
          <w:rFonts w:ascii="Calibri"/>
          <w:sz w:val="4"/>
        </w:rPr>
      </w:pPr>
      <w:r>
        <w:rPr>
          <w:rFonts w:ascii="Calibri"/>
          <w:noProof/>
          <w:sz w:val="4"/>
        </w:rPr>
        <mc:AlternateContent>
          <mc:Choice Requires="wpg">
            <w:drawing>
              <wp:inline distT="0" distB="0" distL="0" distR="0" wp14:anchorId="3F457C44" wp14:editId="3F457C45">
                <wp:extent cx="3975735" cy="25400"/>
                <wp:effectExtent l="1270" t="0" r="4445" b="3175"/>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75735" cy="25400"/>
                          <a:chOff x="0" y="0"/>
                          <a:chExt cx="6261" cy="40"/>
                        </a:xfrm>
                      </wpg:grpSpPr>
                      <wps:wsp>
                        <wps:cNvPr id="15" name="Line 5"/>
                        <wps:cNvCnPr/>
                        <wps:spPr bwMode="auto">
                          <a:xfrm>
                            <a:off x="20" y="20"/>
                            <a:ext cx="6221" cy="0"/>
                          </a:xfrm>
                          <a:prstGeom prst="line">
                            <a:avLst/>
                          </a:prstGeom>
                          <a:noFill/>
                          <a:ln w="25400">
                            <a:solidFill>
                              <a:srgbClr val="004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DDF985" id="Group 4" o:spid="_x0000_s1026" style="width:313.05pt;height:2pt;mso-position-horizontal-relative:char;mso-position-vertical-relative:line" coordsize="6261,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">
                <v:line id="Line 5" o:spid="_x0000_s1027" style="position:absolute;visibility:visible;mso-wrap-style:square" from="20,20" to="6241,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" strokecolor="#004080" strokeweight="2pt"/>
                <w10:anchorlock/>
              </v:group>
            </w:pict>
          </mc:Fallback>
        </mc:AlternateContent>
      </w:r>
    </w:p>
    <w:p w14:paraId="3F457C37" w14:textId="58BF6EF5" w:rsidR="00AE3E37" w:rsidRDefault="008756E6" w:rsidP="00404E5B">
      <w:pPr>
        <w:spacing w:before="92"/>
        <w:ind w:right="4234"/>
        <w:rPr>
          <w:rFonts w:ascii="Arial"/>
        </w:rPr>
      </w:pPr>
      <w:r>
        <w:rPr>
          <w:noProof/>
        </w:rPr>
        <w:t xml:space="preserve">       </w:t>
      </w:r>
      <w:r w:rsidR="00EF119C">
        <w:rPr>
          <w:rFonts w:ascii="Arial"/>
          <w:noProof/>
          <w:color w:val="BF5A14"/>
        </w:rPr>
        <w:drawing>
          <wp:inline distT="0" distB="0" distL="0" distR="0" wp14:anchorId="2F3DB754" wp14:editId="6DAEEFD9">
            <wp:extent cx="819769"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D photo.jpeg"/>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840517" cy="970096"/>
                    </a:xfrm>
                    <a:prstGeom prst="rect">
                      <a:avLst/>
                    </a:prstGeom>
                  </pic:spPr>
                </pic:pic>
              </a:graphicData>
            </a:graphic>
          </wp:inline>
        </w:drawing>
      </w:r>
      <w:r w:rsidR="000642C6">
        <w:rPr>
          <w:noProof/>
        </w:rPr>
        <w:t xml:space="preserve"> </w:t>
      </w:r>
      <w:r w:rsidR="00A9710C">
        <w:rPr>
          <w:rFonts w:ascii="Arial"/>
          <w:color w:val="BF5A14"/>
        </w:rPr>
        <w:t>Biography</w:t>
      </w:r>
    </w:p>
    <w:p w14:paraId="3F457C38" w14:textId="67F245BC" w:rsidR="00AE3E37" w:rsidRDefault="004A4BBB">
      <w:pPr>
        <w:spacing w:before="41" w:line="154" w:lineRule="exact"/>
        <w:ind w:left="213" w:right="231"/>
        <w:jc w:val="both"/>
        <w:rPr>
          <w:rFonts w:ascii="Arial"/>
          <w:sz w:val="14"/>
        </w:rPr>
      </w:pPr>
      <w:r w:rsidRPr="004A4BBB">
        <w:rPr>
          <w:rFonts w:ascii="Arial"/>
          <w:sz w:val="14"/>
        </w:rPr>
        <w:t xml:space="preserve">Dr. Dalia Dawoud; Associate Professor at the Clinical Pharmacy Department, Cairo University and Lecturer in Clinical Pharmacy Practice at the University of Hertfordshire, UK. Dr. Dawoud was awarded her Ph.D. from King's College London. Her main research interests are </w:t>
      </w:r>
      <w:r w:rsidR="00EF119C" w:rsidRPr="004A4BBB">
        <w:rPr>
          <w:rFonts w:ascii="Arial"/>
          <w:sz w:val="14"/>
        </w:rPr>
        <w:t>Pharmacoeconomics</w:t>
      </w:r>
      <w:r w:rsidRPr="004A4BBB">
        <w:rPr>
          <w:rFonts w:ascii="Arial"/>
          <w:sz w:val="14"/>
        </w:rPr>
        <w:t xml:space="preserve"> and its applications in health technology assessment, clinical guideline development, and clinical pharmacy practices and policy research with particular focus on pharmacist role in improving health outcomes. Dr. Dalia has extensive exper</w:t>
      </w:r>
      <w:r w:rsidR="00EF119C">
        <w:rPr>
          <w:rFonts w:ascii="Arial"/>
          <w:sz w:val="14"/>
        </w:rPr>
        <w:t xml:space="preserve">ience in mixed-methods research, </w:t>
      </w:r>
      <w:r w:rsidRPr="004A4BBB">
        <w:rPr>
          <w:rFonts w:ascii="Arial"/>
          <w:sz w:val="14"/>
        </w:rPr>
        <w:t>systematic reviewing, network meta-analysis and economic modelling. She has published in leading journals including the British Medical Journal (BMJ),</w:t>
      </w:r>
      <w:r w:rsidR="00EF119C">
        <w:rPr>
          <w:rFonts w:ascii="Arial"/>
          <w:sz w:val="14"/>
        </w:rPr>
        <w:t xml:space="preserve"> </w:t>
      </w:r>
      <w:r w:rsidRPr="004A4BBB">
        <w:rPr>
          <w:rFonts w:ascii="Arial"/>
          <w:sz w:val="14"/>
        </w:rPr>
        <w:t>Research in Social and Administrative Pharmacy (RSAP) and Value in Health. Dr. Dawoud serves on the editorial board of RSAP as Associate Editor for Pharmacoeconomics and Outcomes Research. She is also an editorial board member for BMC Journal of Pharmaceutical Policy and Practice (</w:t>
      </w:r>
      <w:proofErr w:type="spellStart"/>
      <w:r w:rsidRPr="004A4BBB">
        <w:rPr>
          <w:rFonts w:ascii="Arial"/>
          <w:sz w:val="14"/>
        </w:rPr>
        <w:t>JoPPP</w:t>
      </w:r>
      <w:proofErr w:type="spellEnd"/>
      <w:r w:rsidRPr="004A4BBB">
        <w:rPr>
          <w:rFonts w:ascii="Arial"/>
          <w:sz w:val="14"/>
        </w:rPr>
        <w:t xml:space="preserve">) and Elsevier Open Access journal </w:t>
      </w:r>
      <w:r w:rsidRPr="004A4BBB">
        <w:rPr>
          <w:rFonts w:ascii="Arial"/>
          <w:sz w:val="14"/>
        </w:rPr>
        <w:t>“</w:t>
      </w:r>
      <w:proofErr w:type="spellStart"/>
      <w:r w:rsidRPr="004A4BBB">
        <w:rPr>
          <w:rFonts w:ascii="Arial"/>
          <w:sz w:val="14"/>
        </w:rPr>
        <w:t>Heliyon</w:t>
      </w:r>
      <w:proofErr w:type="spellEnd"/>
      <w:r w:rsidRPr="004A4BBB">
        <w:rPr>
          <w:rFonts w:ascii="Arial"/>
          <w:sz w:val="14"/>
        </w:rPr>
        <w:t>”</w:t>
      </w:r>
      <w:r w:rsidRPr="004A4BBB">
        <w:rPr>
          <w:rFonts w:ascii="Arial"/>
          <w:sz w:val="14"/>
        </w:rPr>
        <w:t>.</w:t>
      </w:r>
    </w:p>
    <w:p w14:paraId="3F457C39" w14:textId="64327033" w:rsidR="00AE3E37" w:rsidRDefault="00A9710C">
      <w:pPr>
        <w:spacing w:before="62"/>
        <w:ind w:left="4217" w:right="4235"/>
        <w:jc w:val="center"/>
        <w:rPr>
          <w:rStyle w:val="Hyperlink"/>
          <w:rFonts w:ascii="Arial"/>
          <w:sz w:val="14"/>
        </w:rPr>
      </w:pPr>
      <w:r>
        <w:rPr>
          <w:rFonts w:ascii="Arial"/>
          <w:sz w:val="14"/>
        </w:rPr>
        <w:t xml:space="preserve">Email: </w:t>
      </w:r>
      <w:r w:rsidR="004A4BBB">
        <w:rPr>
          <w:rFonts w:ascii="Arial"/>
          <w:sz w:val="14"/>
        </w:rPr>
        <w:t>d.dawoud@herts.ac.uk</w:t>
      </w:r>
    </w:p>
    <w:p w14:paraId="3F457C3A" w14:textId="22FB8DE2" w:rsidR="00827B1F" w:rsidRPr="00827B1F" w:rsidRDefault="00827B1F">
      <w:pPr>
        <w:spacing w:before="62"/>
        <w:ind w:left="4217" w:right="4235"/>
        <w:jc w:val="center"/>
        <w:rPr>
          <w:rFonts w:ascii="Arial"/>
          <w:sz w:val="14"/>
        </w:rPr>
      </w:pPr>
      <w:r w:rsidRPr="00827B1F">
        <w:rPr>
          <w:rStyle w:val="Hyperlink"/>
          <w:rFonts w:ascii="Arial"/>
          <w:color w:val="auto"/>
          <w:sz w:val="14"/>
          <w:u w:val="none"/>
        </w:rPr>
        <w:t xml:space="preserve">Phone: </w:t>
      </w:r>
      <w:r w:rsidR="004A4BBB">
        <w:rPr>
          <w:rStyle w:val="Hyperlink"/>
          <w:rFonts w:ascii="Arial"/>
          <w:color w:val="auto"/>
          <w:sz w:val="14"/>
          <w:u w:val="none"/>
        </w:rPr>
        <w:t>+44 (0) 7747610292</w:t>
      </w:r>
    </w:p>
    <w:p w14:paraId="3F457C3B" w14:textId="77777777" w:rsidR="00AE3E37" w:rsidRDefault="00292ED9">
      <w:pPr>
        <w:pStyle w:val="BodyText"/>
        <w:spacing w:before="2"/>
        <w:rPr>
          <w:rFonts w:ascii="Arial"/>
          <w:sz w:val="19"/>
        </w:rPr>
      </w:pPr>
      <w:r>
        <w:rPr>
          <w:noProof/>
        </w:rPr>
        <mc:AlternateContent>
          <mc:Choice Requires="wps">
            <w:drawing>
              <wp:anchor distT="0" distB="0" distL="0" distR="0" simplePos="0" relativeHeight="1072" behindDoc="0" locked="0" layoutInCell="1" allowOverlap="1" wp14:anchorId="3F457C48" wp14:editId="3F457C49">
                <wp:simplePos x="0" y="0"/>
                <wp:positionH relativeFrom="page">
                  <wp:posOffset>2058670</wp:posOffset>
                </wp:positionH>
                <wp:positionV relativeFrom="paragraph">
                  <wp:posOffset>168275</wp:posOffset>
                </wp:positionV>
                <wp:extent cx="3442335" cy="0"/>
                <wp:effectExtent l="10795" t="6985" r="13970" b="12065"/>
                <wp:wrapTopAndBottom/>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42335" cy="0"/>
                        </a:xfrm>
                        <a:prstGeom prst="line">
                          <a:avLst/>
                        </a:prstGeom>
                        <a:noFill/>
                        <a:ln w="6350">
                          <a:solidFill>
                            <a:srgbClr val="004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5A4043" id="Line 3" o:spid="_x0000_s1026" style="position:absolute;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2.1pt,13.25pt" to="433.15pt,13.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" strokecolor="#004080" strokeweight=".5pt">
                <w10:wrap type="topAndBottom" anchorx="page"/>
              </v:line>
            </w:pict>
          </mc:Fallback>
        </mc:AlternateContent>
      </w:r>
    </w:p>
    <w:p w14:paraId="3F457C3C" w14:textId="77777777" w:rsidR="00AE3E37" w:rsidRDefault="00AE3E37">
      <w:pPr>
        <w:pStyle w:val="BodyText"/>
        <w:rPr>
          <w:rFonts w:ascii="Arial"/>
          <w:sz w:val="20"/>
        </w:rPr>
      </w:pPr>
    </w:p>
    <w:p w14:paraId="3F457C3D" w14:textId="77777777" w:rsidR="00AE3E37" w:rsidRDefault="00AE3E37">
      <w:pPr>
        <w:pStyle w:val="BodyText"/>
        <w:rPr>
          <w:rFonts w:ascii="Arial"/>
          <w:sz w:val="20"/>
        </w:rPr>
      </w:pPr>
    </w:p>
    <w:p w14:paraId="3F457C3E" w14:textId="77777777" w:rsidR="00AE3E37" w:rsidRDefault="00AE3E37">
      <w:pPr>
        <w:pStyle w:val="BodyText"/>
        <w:spacing w:before="7"/>
        <w:rPr>
          <w:rFonts w:ascii="Arial"/>
          <w:sz w:val="29"/>
        </w:rPr>
      </w:pPr>
    </w:p>
    <w:p w14:paraId="3F457C40" w14:textId="77777777" w:rsidR="00AE3E37" w:rsidRDefault="00AE3E37">
      <w:pPr>
        <w:rPr>
          <w:rFonts w:ascii="Minion Pro"/>
          <w:sz w:val="24"/>
        </w:rPr>
        <w:sectPr w:rsidR="00AE3E37">
          <w:type w:val="continuous"/>
          <w:pgSz w:w="11910" w:h="16840"/>
          <w:pgMar w:top="1740" w:right="600" w:bottom="840" w:left="620" w:header="720" w:footer="720" w:gutter="0"/>
          <w:cols w:space="720"/>
        </w:sectPr>
      </w:pPr>
    </w:p>
    <w:p w14:paraId="3F457C41" w14:textId="77777777" w:rsidR="00AE3E37" w:rsidRDefault="00AE3E37">
      <w:pPr>
        <w:pStyle w:val="BodyText"/>
        <w:spacing w:before="3"/>
        <w:rPr>
          <w:rFonts w:ascii="Minion Pro"/>
          <w:sz w:val="26"/>
        </w:rPr>
      </w:pPr>
      <w:bookmarkStart w:id="0" w:name="_GoBack"/>
      <w:bookmarkEnd w:id="0"/>
    </w:p>
    <w:sectPr w:rsidR="00AE3E37" w:rsidSect="00CD6F55">
      <w:type w:val="continuous"/>
      <w:pgSz w:w="11910" w:h="16840"/>
      <w:pgMar w:top="1740" w:right="580" w:bottom="840" w:left="620" w:header="720" w:footer="720" w:gutter="0"/>
      <w:cols w:num="2" w:space="720" w:equalWidth="0">
        <w:col w:w="5214" w:space="138"/>
        <w:col w:w="53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AD028" w14:textId="77777777" w:rsidR="00D60E4F" w:rsidRDefault="00D60E4F">
      <w:r>
        <w:separator/>
      </w:r>
    </w:p>
  </w:endnote>
  <w:endnote w:type="continuationSeparator" w:id="0">
    <w:p w14:paraId="50D6ECF2" w14:textId="77777777" w:rsidR="00D60E4F" w:rsidRDefault="00D6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w Cen MT">
    <w:panose1 w:val="020B0602020104020603"/>
    <w:charset w:val="4D"/>
    <w:family w:val="swiss"/>
    <w:pitch w:val="variable"/>
    <w:sig w:usb0="00000003" w:usb1="00000000" w:usb2="00000000" w:usb3="00000000" w:csb0="00000003" w:csb1="00000000"/>
  </w:font>
  <w:font w:name="Minion Pro">
    <w:altName w:val="Cambria Math"/>
    <w:panose1 w:val="020B0604020202020204"/>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7C4F" w14:textId="7F35E891" w:rsidR="00AE3E37" w:rsidRDefault="00AE3E3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875801" w14:textId="77777777" w:rsidR="00D60E4F" w:rsidRDefault="00D60E4F">
      <w:r>
        <w:separator/>
      </w:r>
    </w:p>
  </w:footnote>
  <w:footnote w:type="continuationSeparator" w:id="0">
    <w:p w14:paraId="0BCA7769" w14:textId="77777777" w:rsidR="00D60E4F" w:rsidRDefault="00D60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57C4E" w14:textId="324C9ABF" w:rsidR="00AE3E37" w:rsidRDefault="00AE3E37">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C80552"/>
    <w:multiLevelType w:val="hybridMultilevel"/>
    <w:tmpl w:val="7EDE6B1A"/>
    <w:lvl w:ilvl="0" w:tplc="3CF4AF62">
      <w:start w:val="1"/>
      <w:numFmt w:val="decimal"/>
      <w:lvlText w:val="%1."/>
      <w:lvlJc w:val="left"/>
      <w:pPr>
        <w:ind w:left="383" w:hanging="284"/>
      </w:pPr>
      <w:rPr>
        <w:rFonts w:ascii="Calibri" w:eastAsia="Calibri" w:hAnsi="Calibri" w:cs="Calibri" w:hint="default"/>
        <w:spacing w:val="-16"/>
        <w:w w:val="100"/>
        <w:sz w:val="18"/>
        <w:szCs w:val="18"/>
      </w:rPr>
    </w:lvl>
    <w:lvl w:ilvl="1" w:tplc="C60E89D2">
      <w:start w:val="1"/>
      <w:numFmt w:val="bullet"/>
      <w:lvlText w:val="•"/>
      <w:lvlJc w:val="left"/>
      <w:pPr>
        <w:ind w:left="877" w:hanging="284"/>
      </w:pPr>
      <w:rPr>
        <w:rFonts w:hint="default"/>
      </w:rPr>
    </w:lvl>
    <w:lvl w:ilvl="2" w:tplc="9E4C3810">
      <w:start w:val="1"/>
      <w:numFmt w:val="bullet"/>
      <w:lvlText w:val="•"/>
      <w:lvlJc w:val="left"/>
      <w:pPr>
        <w:ind w:left="1374" w:hanging="284"/>
      </w:pPr>
      <w:rPr>
        <w:rFonts w:hint="default"/>
      </w:rPr>
    </w:lvl>
    <w:lvl w:ilvl="3" w:tplc="27FEBB2C">
      <w:start w:val="1"/>
      <w:numFmt w:val="bullet"/>
      <w:lvlText w:val="•"/>
      <w:lvlJc w:val="left"/>
      <w:pPr>
        <w:ind w:left="1871" w:hanging="284"/>
      </w:pPr>
      <w:rPr>
        <w:rFonts w:hint="default"/>
      </w:rPr>
    </w:lvl>
    <w:lvl w:ilvl="4" w:tplc="40E042A8">
      <w:start w:val="1"/>
      <w:numFmt w:val="bullet"/>
      <w:lvlText w:val="•"/>
      <w:lvlJc w:val="left"/>
      <w:pPr>
        <w:ind w:left="2369" w:hanging="284"/>
      </w:pPr>
      <w:rPr>
        <w:rFonts w:hint="default"/>
      </w:rPr>
    </w:lvl>
    <w:lvl w:ilvl="5" w:tplc="80EC61F2">
      <w:start w:val="1"/>
      <w:numFmt w:val="bullet"/>
      <w:lvlText w:val="•"/>
      <w:lvlJc w:val="left"/>
      <w:pPr>
        <w:ind w:left="2866" w:hanging="284"/>
      </w:pPr>
      <w:rPr>
        <w:rFonts w:hint="default"/>
      </w:rPr>
    </w:lvl>
    <w:lvl w:ilvl="6" w:tplc="F60232E2">
      <w:start w:val="1"/>
      <w:numFmt w:val="bullet"/>
      <w:lvlText w:val="•"/>
      <w:lvlJc w:val="left"/>
      <w:pPr>
        <w:ind w:left="3363" w:hanging="284"/>
      </w:pPr>
      <w:rPr>
        <w:rFonts w:hint="default"/>
      </w:rPr>
    </w:lvl>
    <w:lvl w:ilvl="7" w:tplc="69AE9EC2">
      <w:start w:val="1"/>
      <w:numFmt w:val="bullet"/>
      <w:lvlText w:val="•"/>
      <w:lvlJc w:val="left"/>
      <w:pPr>
        <w:ind w:left="3860" w:hanging="284"/>
      </w:pPr>
      <w:rPr>
        <w:rFonts w:hint="default"/>
      </w:rPr>
    </w:lvl>
    <w:lvl w:ilvl="8" w:tplc="16D69236">
      <w:start w:val="1"/>
      <w:numFmt w:val="bullet"/>
      <w:lvlText w:val="•"/>
      <w:lvlJc w:val="left"/>
      <w:pPr>
        <w:ind w:left="4358" w:hanging="284"/>
      </w:pPr>
      <w:rPr>
        <w:rFonts w:hint="default"/>
      </w:rPr>
    </w:lvl>
  </w:abstractNum>
  <w:abstractNum w:abstractNumId="1" w15:restartNumberingAfterBreak="0">
    <w:nsid w:val="5B5223B8"/>
    <w:multiLevelType w:val="hybridMultilevel"/>
    <w:tmpl w:val="1F60F210"/>
    <w:lvl w:ilvl="0" w:tplc="D952B2B2">
      <w:start w:val="1"/>
      <w:numFmt w:val="decimal"/>
      <w:lvlText w:val="%1."/>
      <w:lvlJc w:val="left"/>
      <w:pPr>
        <w:ind w:left="383" w:hanging="284"/>
      </w:pPr>
      <w:rPr>
        <w:rFonts w:ascii="Calibri" w:eastAsia="Calibri" w:hAnsi="Calibri" w:cs="Calibri" w:hint="default"/>
        <w:spacing w:val="-16"/>
        <w:w w:val="100"/>
        <w:sz w:val="18"/>
        <w:szCs w:val="18"/>
      </w:rPr>
    </w:lvl>
    <w:lvl w:ilvl="1" w:tplc="C85C2D86">
      <w:start w:val="1"/>
      <w:numFmt w:val="bullet"/>
      <w:lvlText w:val="•"/>
      <w:lvlJc w:val="left"/>
      <w:pPr>
        <w:ind w:left="875" w:hanging="284"/>
      </w:pPr>
      <w:rPr>
        <w:rFonts w:hint="default"/>
      </w:rPr>
    </w:lvl>
    <w:lvl w:ilvl="2" w:tplc="D9F2D516">
      <w:start w:val="1"/>
      <w:numFmt w:val="bullet"/>
      <w:lvlText w:val="•"/>
      <w:lvlJc w:val="left"/>
      <w:pPr>
        <w:ind w:left="1370" w:hanging="284"/>
      </w:pPr>
      <w:rPr>
        <w:rFonts w:hint="default"/>
      </w:rPr>
    </w:lvl>
    <w:lvl w:ilvl="3" w:tplc="317238B6">
      <w:start w:val="1"/>
      <w:numFmt w:val="bullet"/>
      <w:lvlText w:val="•"/>
      <w:lvlJc w:val="left"/>
      <w:pPr>
        <w:ind w:left="1865" w:hanging="284"/>
      </w:pPr>
      <w:rPr>
        <w:rFonts w:hint="default"/>
      </w:rPr>
    </w:lvl>
    <w:lvl w:ilvl="4" w:tplc="F17CB840">
      <w:start w:val="1"/>
      <w:numFmt w:val="bullet"/>
      <w:lvlText w:val="•"/>
      <w:lvlJc w:val="left"/>
      <w:pPr>
        <w:ind w:left="2361" w:hanging="284"/>
      </w:pPr>
      <w:rPr>
        <w:rFonts w:hint="default"/>
      </w:rPr>
    </w:lvl>
    <w:lvl w:ilvl="5" w:tplc="FB766700">
      <w:start w:val="1"/>
      <w:numFmt w:val="bullet"/>
      <w:lvlText w:val="•"/>
      <w:lvlJc w:val="left"/>
      <w:pPr>
        <w:ind w:left="2856" w:hanging="284"/>
      </w:pPr>
      <w:rPr>
        <w:rFonts w:hint="default"/>
      </w:rPr>
    </w:lvl>
    <w:lvl w:ilvl="6" w:tplc="E05CA76A">
      <w:start w:val="1"/>
      <w:numFmt w:val="bullet"/>
      <w:lvlText w:val="•"/>
      <w:lvlJc w:val="left"/>
      <w:pPr>
        <w:ind w:left="3351" w:hanging="284"/>
      </w:pPr>
      <w:rPr>
        <w:rFonts w:hint="default"/>
      </w:rPr>
    </w:lvl>
    <w:lvl w:ilvl="7" w:tplc="18E2DC68">
      <w:start w:val="1"/>
      <w:numFmt w:val="bullet"/>
      <w:lvlText w:val="•"/>
      <w:lvlJc w:val="left"/>
      <w:pPr>
        <w:ind w:left="3846" w:hanging="284"/>
      </w:pPr>
      <w:rPr>
        <w:rFonts w:hint="default"/>
      </w:rPr>
    </w:lvl>
    <w:lvl w:ilvl="8" w:tplc="05528CD8">
      <w:start w:val="1"/>
      <w:numFmt w:val="bullet"/>
      <w:lvlText w:val="•"/>
      <w:lvlJc w:val="left"/>
      <w:pPr>
        <w:ind w:left="4342" w:hanging="284"/>
      </w:pPr>
      <w:rPr>
        <w:rFonts w:hint="default"/>
      </w:rPr>
    </w:lvl>
  </w:abstractNum>
  <w:num w:numId="1">
    <w:abstractNumId w:val="0"/>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E37"/>
    <w:rsid w:val="000642C6"/>
    <w:rsid w:val="00065718"/>
    <w:rsid w:val="000E2911"/>
    <w:rsid w:val="001263DF"/>
    <w:rsid w:val="002220FB"/>
    <w:rsid w:val="00292ED9"/>
    <w:rsid w:val="002D49EC"/>
    <w:rsid w:val="00404E5B"/>
    <w:rsid w:val="00414F7B"/>
    <w:rsid w:val="004355DC"/>
    <w:rsid w:val="004749B4"/>
    <w:rsid w:val="00494130"/>
    <w:rsid w:val="004A4BBB"/>
    <w:rsid w:val="004F3523"/>
    <w:rsid w:val="0058351A"/>
    <w:rsid w:val="005973B9"/>
    <w:rsid w:val="005B3A56"/>
    <w:rsid w:val="005C6C89"/>
    <w:rsid w:val="005F0614"/>
    <w:rsid w:val="006010BC"/>
    <w:rsid w:val="006060CE"/>
    <w:rsid w:val="0063497F"/>
    <w:rsid w:val="006910C5"/>
    <w:rsid w:val="006A7892"/>
    <w:rsid w:val="00827B1F"/>
    <w:rsid w:val="00873DF0"/>
    <w:rsid w:val="008756E6"/>
    <w:rsid w:val="0095516E"/>
    <w:rsid w:val="009B2D44"/>
    <w:rsid w:val="009F65A0"/>
    <w:rsid w:val="00A07E82"/>
    <w:rsid w:val="00A330BB"/>
    <w:rsid w:val="00A9710C"/>
    <w:rsid w:val="00AE3E37"/>
    <w:rsid w:val="00B21A57"/>
    <w:rsid w:val="00B83CE6"/>
    <w:rsid w:val="00C0739C"/>
    <w:rsid w:val="00C33602"/>
    <w:rsid w:val="00CC00DB"/>
    <w:rsid w:val="00CC26CE"/>
    <w:rsid w:val="00CD6F55"/>
    <w:rsid w:val="00D60E4F"/>
    <w:rsid w:val="00DE3104"/>
    <w:rsid w:val="00E029EB"/>
    <w:rsid w:val="00EF119C"/>
    <w:rsid w:val="00F2690B"/>
    <w:rsid w:val="00F72EEA"/>
    <w:rsid w:val="00F84CAE"/>
    <w:rsid w:val="00FA3D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457C23"/>
  <w15:docId w15:val="{099BFB68-08FE-4F6F-B07F-74C496EB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CD6F55"/>
    <w:rPr>
      <w:rFonts w:ascii="Tw Cen MT" w:eastAsia="Tw Cen MT" w:hAnsi="Tw Cen MT" w:cs="Tw Cen MT"/>
    </w:rPr>
  </w:style>
  <w:style w:type="paragraph" w:styleId="Heading1">
    <w:name w:val="heading 1"/>
    <w:basedOn w:val="Normal"/>
    <w:uiPriority w:val="1"/>
    <w:qFormat/>
    <w:rsid w:val="00CD6F55"/>
    <w:pPr>
      <w:spacing w:before="47" w:line="400" w:lineRule="exact"/>
      <w:ind w:left="100"/>
      <w:outlineLvl w:val="0"/>
    </w:pPr>
    <w:rPr>
      <w:rFonts w:ascii="Minion Pro" w:eastAsia="Minion Pro" w:hAnsi="Minion Pro" w:cs="Minion Pro"/>
      <w:b/>
      <w:bCs/>
      <w:sz w:val="36"/>
      <w:szCs w:val="36"/>
    </w:rPr>
  </w:style>
  <w:style w:type="paragraph" w:styleId="Heading2">
    <w:name w:val="heading 2"/>
    <w:basedOn w:val="Normal"/>
    <w:uiPriority w:val="1"/>
    <w:qFormat/>
    <w:rsid w:val="00CD6F55"/>
    <w:pPr>
      <w:ind w:left="100"/>
      <w:outlineLvl w:val="1"/>
    </w:pPr>
    <w:rPr>
      <w:rFonts w:ascii="Minion Pro" w:eastAsia="Minion Pro" w:hAnsi="Minion Pro" w:cs="Minion Pro"/>
      <w:sz w:val="24"/>
      <w:szCs w:val="24"/>
    </w:rPr>
  </w:style>
  <w:style w:type="paragraph" w:styleId="Heading3">
    <w:name w:val="heading 3"/>
    <w:basedOn w:val="Normal"/>
    <w:uiPriority w:val="1"/>
    <w:qFormat/>
    <w:rsid w:val="00CD6F55"/>
    <w:pPr>
      <w:ind w:left="10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D6F55"/>
    <w:rPr>
      <w:sz w:val="18"/>
      <w:szCs w:val="18"/>
    </w:rPr>
  </w:style>
  <w:style w:type="paragraph" w:styleId="ListParagraph">
    <w:name w:val="List Paragraph"/>
    <w:basedOn w:val="Normal"/>
    <w:uiPriority w:val="1"/>
    <w:qFormat/>
    <w:rsid w:val="00CD6F55"/>
    <w:pPr>
      <w:spacing w:before="90" w:line="200" w:lineRule="exact"/>
      <w:ind w:left="383" w:hanging="283"/>
      <w:jc w:val="both"/>
    </w:pPr>
    <w:rPr>
      <w:rFonts w:ascii="Calibri" w:eastAsia="Calibri" w:hAnsi="Calibri" w:cs="Calibri"/>
    </w:rPr>
  </w:style>
  <w:style w:type="paragraph" w:customStyle="1" w:styleId="TableParagraph">
    <w:name w:val="Table Paragraph"/>
    <w:basedOn w:val="Normal"/>
    <w:uiPriority w:val="1"/>
    <w:qFormat/>
    <w:rsid w:val="00CD6F55"/>
  </w:style>
  <w:style w:type="paragraph" w:styleId="Header">
    <w:name w:val="header"/>
    <w:basedOn w:val="Normal"/>
    <w:link w:val="HeaderChar"/>
    <w:uiPriority w:val="99"/>
    <w:unhideWhenUsed/>
    <w:rsid w:val="005B3A56"/>
    <w:pPr>
      <w:tabs>
        <w:tab w:val="center" w:pos="4513"/>
        <w:tab w:val="right" w:pos="9026"/>
      </w:tabs>
    </w:pPr>
  </w:style>
  <w:style w:type="character" w:customStyle="1" w:styleId="HeaderChar">
    <w:name w:val="Header Char"/>
    <w:basedOn w:val="DefaultParagraphFont"/>
    <w:link w:val="Header"/>
    <w:uiPriority w:val="99"/>
    <w:rsid w:val="005B3A56"/>
    <w:rPr>
      <w:rFonts w:ascii="Tw Cen MT" w:eastAsia="Tw Cen MT" w:hAnsi="Tw Cen MT" w:cs="Tw Cen MT"/>
    </w:rPr>
  </w:style>
  <w:style w:type="paragraph" w:styleId="Footer">
    <w:name w:val="footer"/>
    <w:basedOn w:val="Normal"/>
    <w:link w:val="FooterChar"/>
    <w:uiPriority w:val="99"/>
    <w:unhideWhenUsed/>
    <w:rsid w:val="005B3A56"/>
    <w:pPr>
      <w:tabs>
        <w:tab w:val="center" w:pos="4513"/>
        <w:tab w:val="right" w:pos="9026"/>
      </w:tabs>
    </w:pPr>
  </w:style>
  <w:style w:type="character" w:customStyle="1" w:styleId="FooterChar">
    <w:name w:val="Footer Char"/>
    <w:basedOn w:val="DefaultParagraphFont"/>
    <w:link w:val="Footer"/>
    <w:uiPriority w:val="99"/>
    <w:rsid w:val="005B3A56"/>
    <w:rPr>
      <w:rFonts w:ascii="Tw Cen MT" w:eastAsia="Tw Cen MT" w:hAnsi="Tw Cen MT" w:cs="Tw Cen MT"/>
    </w:rPr>
  </w:style>
  <w:style w:type="paragraph" w:styleId="BalloonText">
    <w:name w:val="Balloon Text"/>
    <w:basedOn w:val="Normal"/>
    <w:link w:val="BalloonTextChar"/>
    <w:uiPriority w:val="99"/>
    <w:semiHidden/>
    <w:unhideWhenUsed/>
    <w:rsid w:val="004F3523"/>
    <w:rPr>
      <w:rFonts w:ascii="Tahoma" w:hAnsi="Tahoma" w:cs="Tahoma"/>
      <w:sz w:val="16"/>
      <w:szCs w:val="16"/>
    </w:rPr>
  </w:style>
  <w:style w:type="character" w:customStyle="1" w:styleId="BalloonTextChar">
    <w:name w:val="Balloon Text Char"/>
    <w:basedOn w:val="DefaultParagraphFont"/>
    <w:link w:val="BalloonText"/>
    <w:uiPriority w:val="99"/>
    <w:semiHidden/>
    <w:rsid w:val="004F3523"/>
    <w:rPr>
      <w:rFonts w:ascii="Tahoma" w:eastAsia="Tw Cen MT" w:hAnsi="Tahoma" w:cs="Tahoma"/>
      <w:sz w:val="16"/>
      <w:szCs w:val="16"/>
    </w:rPr>
  </w:style>
  <w:style w:type="character" w:styleId="Hyperlink">
    <w:name w:val="Hyperlink"/>
    <w:basedOn w:val="DefaultParagraphFont"/>
    <w:uiPriority w:val="99"/>
    <w:unhideWhenUsed/>
    <w:rsid w:val="008756E6"/>
    <w:rPr>
      <w:color w:val="0000FF" w:themeColor="hyperlink"/>
      <w:u w:val="single"/>
    </w:rPr>
  </w:style>
  <w:style w:type="character" w:customStyle="1" w:styleId="BodyTextChar">
    <w:name w:val="Body Text Char"/>
    <w:basedOn w:val="DefaultParagraphFont"/>
    <w:link w:val="BodyText"/>
    <w:uiPriority w:val="1"/>
    <w:rsid w:val="005973B9"/>
    <w:rPr>
      <w:rFonts w:ascii="Tw Cen MT" w:eastAsia="Tw Cen MT" w:hAnsi="Tw Cen MT" w:cs="Tw Cen M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02963">
      <w:bodyDiv w:val="1"/>
      <w:marLeft w:val="0"/>
      <w:marRight w:val="0"/>
      <w:marTop w:val="0"/>
      <w:marBottom w:val="0"/>
      <w:divBdr>
        <w:top w:val="none" w:sz="0" w:space="0" w:color="auto"/>
        <w:left w:val="none" w:sz="0" w:space="0" w:color="auto"/>
        <w:bottom w:val="none" w:sz="0" w:space="0" w:color="auto"/>
        <w:right w:val="none" w:sz="0" w:space="0" w:color="auto"/>
      </w:divBdr>
    </w:div>
    <w:div w:id="1470056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mehaboobi shaik</dc:creator>
  <cp:lastModifiedBy>Dalia Dawoud</cp:lastModifiedBy>
  <cp:revision>3</cp:revision>
  <dcterms:created xsi:type="dcterms:W3CDTF">2018-08-22T21:08:00Z</dcterms:created>
  <dcterms:modified xsi:type="dcterms:W3CDTF">2018-08-22T21:08:00Z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Adobe InDesign CC 2015 (Windows)</vt:lpwstr>
  </property>
  <property fmtid="{D5CDD505-2E9C-101B-9397-08002B2CF9AE}" pid="4" name="LastSaved">
    <vt:filetime>2016-08-23T00:00:00Z</vt:filetime>
  </property>
</Properties>
</file>