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4A77" w:rsidRDefault="00A12709" w:rsidP="00911A6E">
      <w:pPr>
        <w:pStyle w:val="Articletitle"/>
        <w:rPr>
          <w:rFonts w:eastAsia="Calibri" w:cs="Arial"/>
          <w:b/>
          <w:szCs w:val="22"/>
          <w:lang w:eastAsia="en-US"/>
        </w:rPr>
      </w:pPr>
      <w:bookmarkStart w:id="0" w:name="_Hlk498693407"/>
      <w:r w:rsidRPr="006A4A77">
        <w:rPr>
          <w:rFonts w:eastAsia="Calibri" w:cs="Arial"/>
          <w:b/>
          <w:szCs w:val="22"/>
          <w:lang w:eastAsia="en-US"/>
        </w:rPr>
        <w:t xml:space="preserve">Early struggles, peer groups and </w:t>
      </w:r>
      <w:r w:rsidR="00A11AB0" w:rsidRPr="006A4A77">
        <w:rPr>
          <w:rFonts w:eastAsia="Calibri" w:cs="Arial"/>
          <w:b/>
          <w:szCs w:val="22"/>
          <w:lang w:eastAsia="en-US"/>
        </w:rPr>
        <w:t>eventual</w:t>
      </w:r>
      <w:r w:rsidR="007A1285" w:rsidRPr="006A4A77">
        <w:rPr>
          <w:rFonts w:eastAsia="Calibri" w:cs="Arial"/>
          <w:b/>
          <w:szCs w:val="22"/>
          <w:lang w:eastAsia="en-US"/>
        </w:rPr>
        <w:t xml:space="preserve"> success</w:t>
      </w:r>
      <w:r w:rsidR="002B4988" w:rsidRPr="006A4A77">
        <w:rPr>
          <w:rFonts w:eastAsia="Calibri" w:cs="Arial"/>
          <w:b/>
          <w:szCs w:val="22"/>
          <w:lang w:eastAsia="en-US"/>
        </w:rPr>
        <w:t>: an art</w:t>
      </w:r>
      <w:r w:rsidR="007A1285" w:rsidRPr="006A4A77">
        <w:rPr>
          <w:rFonts w:eastAsia="Calibri" w:cs="Arial"/>
          <w:b/>
          <w:szCs w:val="22"/>
          <w:lang w:eastAsia="en-US"/>
        </w:rPr>
        <w:t>ful inquiry into</w:t>
      </w:r>
      <w:r w:rsidR="002B4988" w:rsidRPr="006A4A77">
        <w:rPr>
          <w:rFonts w:eastAsia="Calibri" w:cs="Arial"/>
          <w:b/>
          <w:szCs w:val="22"/>
          <w:lang w:eastAsia="en-US"/>
        </w:rPr>
        <w:t xml:space="preserve"> unpacking transitions into university of widening participation students </w:t>
      </w:r>
    </w:p>
    <w:sdt>
      <w:sdtPr>
        <w:rPr>
          <w:rStyle w:val="AuthorDeatls"/>
        </w:rPr>
        <w:alias w:val="Author Details"/>
        <w:tag w:val="Author Details"/>
        <w:id w:val="1039550688"/>
        <w:placeholder>
          <w:docPart w:val="5D16BC74C47B429493916FAA9EB71A1D"/>
        </w:placeholder>
      </w:sdtPr>
      <w:sdtContent>
        <w:p w:rsidR="006A4A77" w:rsidRDefault="006A4A77" w:rsidP="006A4A77">
          <w:pPr>
            <w:rPr>
              <w:rStyle w:val="AuthorDeatls"/>
            </w:rPr>
          </w:pPr>
          <w:r>
            <w:rPr>
              <w:rStyle w:val="AuthorDeatls"/>
            </w:rPr>
            <w:t xml:space="preserve">Stéphane A. </w:t>
          </w:r>
          <w:proofErr w:type="spellStart"/>
          <w:r>
            <w:rPr>
              <w:rStyle w:val="AuthorDeatls"/>
            </w:rPr>
            <w:t>Farenga</w:t>
          </w:r>
          <w:proofErr w:type="spellEnd"/>
          <w:r>
            <w:rPr>
              <w:rStyle w:val="AuthorDeatls"/>
            </w:rPr>
            <w:t>, University of Hertfordshire</w:t>
          </w:r>
        </w:p>
        <w:p w:rsidR="006A4A77" w:rsidRDefault="006A4A77" w:rsidP="006A4A77">
          <w:pPr>
            <w:rPr>
              <w:rStyle w:val="AuthorDeatls"/>
            </w:rPr>
          </w:pPr>
        </w:p>
        <w:p w:rsidR="006A4A77" w:rsidRDefault="006A4A77" w:rsidP="006A4A77">
          <w:pPr>
            <w:spacing w:after="200" w:line="276" w:lineRule="auto"/>
            <w:rPr>
              <w:rStyle w:val="AuthorDeatls"/>
            </w:rPr>
          </w:pPr>
          <w:r>
            <w:rPr>
              <w:rStyle w:val="AuthorDeatls"/>
            </w:rPr>
            <w:t xml:space="preserve">Email: </w:t>
          </w:r>
          <w:hyperlink r:id="rId7" w:history="1">
            <w:r w:rsidRPr="005E4DCE">
              <w:rPr>
                <w:rStyle w:val="Hyperlink"/>
                <w:rFonts w:ascii="Arial" w:hAnsi="Arial"/>
              </w:rPr>
              <w:t>s.farenga@herts.ac.uk</w:t>
            </w:r>
          </w:hyperlink>
          <w:r>
            <w:rPr>
              <w:rStyle w:val="AuthorDeatls"/>
            </w:rPr>
            <w:t xml:space="preserve"> </w:t>
          </w:r>
        </w:p>
      </w:sdtContent>
    </w:sdt>
    <w:p w:rsidR="00911A6E" w:rsidRDefault="006A4A77" w:rsidP="00911A6E">
      <w:pPr>
        <w:rPr>
          <w:sz w:val="22"/>
        </w:rPr>
      </w:pPr>
      <w:bookmarkStart w:id="1" w:name="_Hlk498693487"/>
      <w:bookmarkEnd w:id="0"/>
      <w:r>
        <w:rPr>
          <w:b/>
        </w:rPr>
        <w:t>Abstract</w:t>
      </w:r>
      <w:r w:rsidRPr="00215818">
        <w:rPr>
          <w:sz w:val="22"/>
        </w:rPr>
        <w:t xml:space="preserve"> </w:t>
      </w:r>
      <w:r w:rsidR="00911A6E" w:rsidRPr="00215818">
        <w:rPr>
          <w:sz w:val="22"/>
        </w:rPr>
        <w:t xml:space="preserve">This paper is based on research conducted as part of an </w:t>
      </w:r>
      <w:r w:rsidR="00A12709">
        <w:rPr>
          <w:sz w:val="22"/>
        </w:rPr>
        <w:t xml:space="preserve">educational </w:t>
      </w:r>
      <w:r w:rsidR="00911A6E" w:rsidRPr="00215818">
        <w:rPr>
          <w:sz w:val="22"/>
        </w:rPr>
        <w:t>doctorate</w:t>
      </w:r>
      <w:r w:rsidR="00A12709">
        <w:rPr>
          <w:sz w:val="22"/>
        </w:rPr>
        <w:t xml:space="preserve"> (</w:t>
      </w:r>
      <w:proofErr w:type="spellStart"/>
      <w:r w:rsidR="00A12709">
        <w:rPr>
          <w:sz w:val="22"/>
        </w:rPr>
        <w:t>EdD</w:t>
      </w:r>
      <w:proofErr w:type="spellEnd"/>
      <w:r w:rsidR="00A12709">
        <w:rPr>
          <w:sz w:val="22"/>
        </w:rPr>
        <w:t>)</w:t>
      </w:r>
      <w:r w:rsidR="00911A6E" w:rsidRPr="00215818">
        <w:rPr>
          <w:sz w:val="22"/>
        </w:rPr>
        <w:t xml:space="preserve"> and explores the transitional period into higher education (HE) of 10 first year undergraduate students at </w:t>
      </w:r>
      <w:proofErr w:type="spellStart"/>
      <w:r w:rsidR="00A12709">
        <w:rPr>
          <w:sz w:val="22"/>
        </w:rPr>
        <w:t>Southeastern</w:t>
      </w:r>
      <w:proofErr w:type="spellEnd"/>
      <w:r w:rsidR="0072737E">
        <w:rPr>
          <w:sz w:val="22"/>
        </w:rPr>
        <w:t xml:space="preserve"> (a post-1992 university)</w:t>
      </w:r>
      <w:r w:rsidR="00911A6E" w:rsidRPr="00215818">
        <w:rPr>
          <w:sz w:val="22"/>
        </w:rPr>
        <w:t>, who come from widening participation (WP) backgrounds</w:t>
      </w:r>
      <w:r w:rsidR="003B66C6">
        <w:rPr>
          <w:sz w:val="22"/>
        </w:rPr>
        <w:t>, based on socio-economic characteristics</w:t>
      </w:r>
      <w:r w:rsidR="00911A6E" w:rsidRPr="00215818">
        <w:rPr>
          <w:sz w:val="22"/>
        </w:rPr>
        <w:t>.  The literature on WP students’ experiences suggests they encounter potential difficulties during their transition into HE</w:t>
      </w:r>
      <w:r w:rsidR="00A12709">
        <w:rPr>
          <w:sz w:val="22"/>
        </w:rPr>
        <w:t xml:space="preserve"> (Gale and Parker, 2014)</w:t>
      </w:r>
      <w:r w:rsidR="00911A6E" w:rsidRPr="00215818">
        <w:rPr>
          <w:sz w:val="22"/>
        </w:rPr>
        <w:t xml:space="preserve">.  This paper </w:t>
      </w:r>
      <w:r w:rsidR="00A12709">
        <w:rPr>
          <w:sz w:val="22"/>
        </w:rPr>
        <w:t>focuses on the extraction of transitional experiences using artful inquiry.</w:t>
      </w:r>
      <w:r w:rsidR="00911A6E" w:rsidRPr="00215818">
        <w:rPr>
          <w:sz w:val="22"/>
        </w:rPr>
        <w:t xml:space="preserve"> </w:t>
      </w:r>
      <w:r w:rsidR="00A12709">
        <w:rPr>
          <w:sz w:val="22"/>
        </w:rPr>
        <w:t xml:space="preserve"> C</w:t>
      </w:r>
      <w:r w:rsidR="00911A6E" w:rsidRPr="00215818">
        <w:rPr>
          <w:sz w:val="22"/>
        </w:rPr>
        <w:t>ollage</w:t>
      </w:r>
      <w:r w:rsidR="00A12709">
        <w:rPr>
          <w:sz w:val="22"/>
        </w:rPr>
        <w:t xml:space="preserve"> as a method of artful inquiry</w:t>
      </w:r>
      <w:r w:rsidR="00911A6E" w:rsidRPr="00215818">
        <w:rPr>
          <w:sz w:val="22"/>
        </w:rPr>
        <w:t xml:space="preserve"> elicits insightful conceptions of WP students’ </w:t>
      </w:r>
      <w:r w:rsidR="00A12709">
        <w:rPr>
          <w:sz w:val="22"/>
        </w:rPr>
        <w:t xml:space="preserve">early HE </w:t>
      </w:r>
      <w:r w:rsidR="00911A6E" w:rsidRPr="00215818">
        <w:rPr>
          <w:sz w:val="22"/>
        </w:rPr>
        <w:t xml:space="preserve">experiences.  This </w:t>
      </w:r>
      <w:r w:rsidR="0072737E">
        <w:rPr>
          <w:sz w:val="22"/>
        </w:rPr>
        <w:t>paper</w:t>
      </w:r>
      <w:r w:rsidR="00911A6E" w:rsidRPr="00215818">
        <w:rPr>
          <w:sz w:val="22"/>
        </w:rPr>
        <w:t xml:space="preserve"> demonstrates </w:t>
      </w:r>
      <w:r w:rsidR="00A12709">
        <w:rPr>
          <w:sz w:val="22"/>
        </w:rPr>
        <w:t xml:space="preserve">these WP students endured difficult initial experiences, mainly due to </w:t>
      </w:r>
      <w:r w:rsidR="009C6C0F" w:rsidRPr="00FC7FD5">
        <w:rPr>
          <w:sz w:val="22"/>
        </w:rPr>
        <w:t>a mismatch between expe</w:t>
      </w:r>
      <w:r w:rsidR="0072737E">
        <w:rPr>
          <w:sz w:val="22"/>
        </w:rPr>
        <w:t xml:space="preserve">ctations, embodied capitals, </w:t>
      </w:r>
      <w:r w:rsidR="009C6C0F" w:rsidRPr="00FC7FD5">
        <w:rPr>
          <w:sz w:val="22"/>
        </w:rPr>
        <w:t>awareness of HE and their university environment</w:t>
      </w:r>
      <w:r w:rsidR="0072737E">
        <w:rPr>
          <w:sz w:val="22"/>
        </w:rPr>
        <w:t>.</w:t>
      </w:r>
      <w:r w:rsidR="00A12709" w:rsidRPr="00A12709">
        <w:rPr>
          <w:sz w:val="22"/>
        </w:rPr>
        <w:t xml:space="preserve"> </w:t>
      </w:r>
      <w:r w:rsidR="0072737E">
        <w:rPr>
          <w:sz w:val="22"/>
        </w:rPr>
        <w:t xml:space="preserve"> Unlike other WP studies (Reay et al., 2009 and Christie et al., 2016), this sample rebounded once peer groups were formed, suggesting they are a key piece to ensuring smooth transitions, at least within post-1992 institutions (Yorke and </w:t>
      </w:r>
      <w:proofErr w:type="spellStart"/>
      <w:r w:rsidR="0072737E">
        <w:rPr>
          <w:sz w:val="22"/>
        </w:rPr>
        <w:t>Longden</w:t>
      </w:r>
      <w:proofErr w:type="spellEnd"/>
      <w:r w:rsidR="0072737E">
        <w:rPr>
          <w:sz w:val="22"/>
        </w:rPr>
        <w:t xml:space="preserve">, 2007 and Wingate, 2007). </w:t>
      </w:r>
    </w:p>
    <w:bookmarkEnd w:id="1"/>
    <w:p w:rsidR="00911A6E" w:rsidRDefault="00911A6E" w:rsidP="00911A6E">
      <w:pPr>
        <w:rPr>
          <w:sz w:val="22"/>
        </w:rPr>
      </w:pPr>
    </w:p>
    <w:bookmarkStart w:id="2" w:name="_Hlk498693508" w:displacedByCustomXml="next"/>
    <w:sdt>
      <w:sdtPr>
        <w:rPr>
          <w:rStyle w:val="KeyWords"/>
        </w:rPr>
        <w:alias w:val="Key Words"/>
        <w:tag w:val="Key Words"/>
        <w:id w:val="-347178894"/>
        <w:placeholder>
          <w:docPart w:val="A263B86488734BA0B5631CEB5D3D7F65"/>
        </w:placeholder>
      </w:sdtPr>
      <w:sdtEndPr>
        <w:rPr>
          <w:rStyle w:val="DefaultParagraphFont"/>
          <w:b/>
          <w:szCs w:val="22"/>
        </w:rPr>
      </w:sdtEndPr>
      <w:sdtContent>
        <w:p w:rsidR="006A4A77" w:rsidRPr="006A4A77" w:rsidRDefault="006A4A77" w:rsidP="006A4A77">
          <w:pPr>
            <w:rPr>
              <w:rStyle w:val="KeyWords"/>
              <w:b/>
              <w:szCs w:val="22"/>
            </w:rPr>
          </w:pPr>
          <w:r w:rsidRPr="006A4A77">
            <w:rPr>
              <w:rStyle w:val="KeyWords"/>
              <w:b/>
              <w:szCs w:val="22"/>
            </w:rPr>
            <w:t xml:space="preserve">Key words </w:t>
          </w:r>
          <w:bookmarkStart w:id="3" w:name="_Hlk498693499"/>
          <w:r w:rsidRPr="006A4A77">
            <w:rPr>
              <w:sz w:val="22"/>
              <w:szCs w:val="22"/>
            </w:rPr>
            <w:t>widening participation; transition; collage; Bourdieu; capital; artful inquiry;</w:t>
          </w:r>
        </w:p>
        <w:bookmarkEnd w:id="3" w:displacedByCustomXml="next"/>
      </w:sdtContent>
    </w:sdt>
    <w:p w:rsidR="00911A6E" w:rsidRDefault="006A4A77" w:rsidP="006A4A77">
      <w:pPr>
        <w:pStyle w:val="Heading1"/>
      </w:pPr>
      <w:r>
        <w:t xml:space="preserve"> </w:t>
      </w:r>
      <w:r w:rsidR="00911A6E">
        <w:t>Introduction</w:t>
      </w:r>
      <w:bookmarkEnd w:id="2"/>
    </w:p>
    <w:p w:rsidR="00AD74FF" w:rsidRDefault="00911A6E" w:rsidP="003A0601">
      <w:pPr>
        <w:spacing w:after="120"/>
        <w:ind w:firstLine="227"/>
        <w:rPr>
          <w:szCs w:val="22"/>
        </w:rPr>
      </w:pPr>
      <w:bookmarkStart w:id="4" w:name="_Hlk498693571"/>
      <w:bookmarkStart w:id="5" w:name="_Hlk498693800"/>
      <w:r w:rsidRPr="00215818">
        <w:t>In the last 15 years, a widening participation (WP) agenda resulted in higher education (HE) participation increases for the least advantaged socio-economic groups</w:t>
      </w:r>
      <w:r w:rsidR="00F27D43">
        <w:t xml:space="preserve">, so called ‘WP students’, of 43% </w:t>
      </w:r>
      <w:r w:rsidR="00F27D43" w:rsidRPr="00215818">
        <w:t>(Higher Education Funding Council for England</w:t>
      </w:r>
      <w:r w:rsidR="00AD74FF">
        <w:t xml:space="preserve"> [HEFCE]</w:t>
      </w:r>
      <w:r w:rsidR="00F27D43" w:rsidRPr="00215818">
        <w:t>, 2013a)</w:t>
      </w:r>
      <w:r w:rsidR="00F27D43">
        <w:t>.  Pupils</w:t>
      </w:r>
      <w:r w:rsidRPr="00215818">
        <w:t xml:space="preserve"> from geographic locations with the lowest progression to HE rates</w:t>
      </w:r>
      <w:r w:rsidR="00AD74FF">
        <w:t xml:space="preserve"> </w:t>
      </w:r>
      <w:r w:rsidR="00F27D43">
        <w:t xml:space="preserve">are 73% more likely to enter HE </w:t>
      </w:r>
      <w:proofErr w:type="spellStart"/>
      <w:r w:rsidR="00F27D43">
        <w:t>than</w:t>
      </w:r>
      <w:proofErr w:type="spellEnd"/>
      <w:r w:rsidR="00F27D43">
        <w:t xml:space="preserve"> over a decade ago</w:t>
      </w:r>
      <w:r w:rsidRPr="00215818">
        <w:t xml:space="preserve"> </w:t>
      </w:r>
      <w:r w:rsidR="00F27D43">
        <w:t>(</w:t>
      </w:r>
      <w:r w:rsidR="00AD74FF">
        <w:t>University</w:t>
      </w:r>
      <w:r w:rsidR="00F27D43">
        <w:t xml:space="preserve"> and Colleges Admission</w:t>
      </w:r>
      <w:r w:rsidR="00AD74FF">
        <w:t>s Services, 2016</w:t>
      </w:r>
      <w:r w:rsidR="00F27D43">
        <w:t>)</w:t>
      </w:r>
      <w:r w:rsidRPr="00215818">
        <w:t xml:space="preserve">.  </w:t>
      </w:r>
      <w:r w:rsidR="00AD74FF">
        <w:t xml:space="preserve">However, graduate outcomes for </w:t>
      </w:r>
      <w:r w:rsidR="00A75BFD">
        <w:t xml:space="preserve">WP students, both in degree attainment </w:t>
      </w:r>
      <w:r w:rsidR="00AD74FF">
        <w:t xml:space="preserve">and </w:t>
      </w:r>
      <w:r w:rsidR="00A75BFD">
        <w:t xml:space="preserve">graduate </w:t>
      </w:r>
      <w:r w:rsidR="00AD74FF">
        <w:t>employment, are consistently 10-13% lower than for their more advantaged peers (HEFCE, 2013b</w:t>
      </w:r>
      <w:proofErr w:type="gramStart"/>
      <w:r w:rsidR="00AD74FF">
        <w:t>).</w:t>
      </w:r>
      <w:r w:rsidR="00AD74FF">
        <w:rPr>
          <w:szCs w:val="22"/>
        </w:rPr>
        <w:t>.</w:t>
      </w:r>
      <w:proofErr w:type="gramEnd"/>
    </w:p>
    <w:p w:rsidR="00606FE9" w:rsidRDefault="00911A6E" w:rsidP="003A0601">
      <w:pPr>
        <w:spacing w:after="120"/>
        <w:ind w:firstLine="227"/>
        <w:rPr>
          <w:szCs w:val="22"/>
        </w:rPr>
      </w:pPr>
      <w:r w:rsidRPr="00BB6681">
        <w:rPr>
          <w:szCs w:val="22"/>
        </w:rPr>
        <w:t xml:space="preserve">This </w:t>
      </w:r>
      <w:r w:rsidR="00925486">
        <w:rPr>
          <w:szCs w:val="22"/>
        </w:rPr>
        <w:t xml:space="preserve">paper </w:t>
      </w:r>
      <w:r w:rsidRPr="00BB6681">
        <w:rPr>
          <w:szCs w:val="22"/>
        </w:rPr>
        <w:t>centre</w:t>
      </w:r>
      <w:r w:rsidR="008C73C8">
        <w:rPr>
          <w:szCs w:val="22"/>
        </w:rPr>
        <w:t>s</w:t>
      </w:r>
      <w:r w:rsidRPr="00BB6681">
        <w:rPr>
          <w:szCs w:val="22"/>
        </w:rPr>
        <w:t xml:space="preserve"> on the transition of </w:t>
      </w:r>
      <w:r w:rsidR="003A0601">
        <w:rPr>
          <w:szCs w:val="22"/>
        </w:rPr>
        <w:t xml:space="preserve">a cohort of 10 </w:t>
      </w:r>
      <w:r w:rsidRPr="00BB6681">
        <w:rPr>
          <w:szCs w:val="22"/>
        </w:rPr>
        <w:t xml:space="preserve">students from WP backgrounds into HE </w:t>
      </w:r>
      <w:r w:rsidR="003A0601">
        <w:rPr>
          <w:szCs w:val="22"/>
        </w:rPr>
        <w:t>at ‘</w:t>
      </w:r>
      <w:proofErr w:type="spellStart"/>
      <w:r w:rsidR="003A0601">
        <w:rPr>
          <w:szCs w:val="22"/>
        </w:rPr>
        <w:t>Southeastern</w:t>
      </w:r>
      <w:proofErr w:type="spellEnd"/>
      <w:r w:rsidR="003A0601">
        <w:rPr>
          <w:szCs w:val="22"/>
        </w:rPr>
        <w:t>’, a post-1992 university located in South East England, which has been anonymised.</w:t>
      </w:r>
      <w:r w:rsidR="003B66C6">
        <w:rPr>
          <w:szCs w:val="22"/>
        </w:rPr>
        <w:t xml:space="preserve"> </w:t>
      </w:r>
      <w:r w:rsidR="003A0601">
        <w:rPr>
          <w:szCs w:val="22"/>
        </w:rPr>
        <w:t xml:space="preserve"> </w:t>
      </w:r>
      <w:r w:rsidR="008C73C8">
        <w:rPr>
          <w:szCs w:val="22"/>
        </w:rPr>
        <w:t>A</w:t>
      </w:r>
      <w:r w:rsidR="00606FE9">
        <w:rPr>
          <w:szCs w:val="22"/>
        </w:rPr>
        <w:t>ccording to literature and key statistics,</w:t>
      </w:r>
      <w:r w:rsidR="003A0601">
        <w:rPr>
          <w:szCs w:val="22"/>
        </w:rPr>
        <w:t xml:space="preserve"> </w:t>
      </w:r>
      <w:r w:rsidR="008C73C8">
        <w:rPr>
          <w:szCs w:val="22"/>
        </w:rPr>
        <w:t xml:space="preserve">WP students </w:t>
      </w:r>
      <w:r w:rsidR="003A0601">
        <w:rPr>
          <w:szCs w:val="22"/>
        </w:rPr>
        <w:t xml:space="preserve">appear to face hurdles in their transition (Gale and Parker, 2014) that may be linked to increased levels of withdrawal </w:t>
      </w:r>
      <w:r w:rsidR="003A0601" w:rsidRPr="00BB6681">
        <w:t>(</w:t>
      </w:r>
      <w:proofErr w:type="spellStart"/>
      <w:r w:rsidR="003A0601" w:rsidRPr="00BB6681">
        <w:t>Kift</w:t>
      </w:r>
      <w:proofErr w:type="spellEnd"/>
      <w:r w:rsidR="003A0601" w:rsidRPr="00BB6681">
        <w:t xml:space="preserve"> and Nelson, 2005 and </w:t>
      </w:r>
      <w:proofErr w:type="spellStart"/>
      <w:r w:rsidR="003A0601" w:rsidRPr="00BB6681">
        <w:t>Kift</w:t>
      </w:r>
      <w:proofErr w:type="spellEnd"/>
      <w:r w:rsidR="003A0601" w:rsidRPr="00BB6681">
        <w:t>, 2009)</w:t>
      </w:r>
      <w:r w:rsidR="003A0601">
        <w:t xml:space="preserve">, not only at </w:t>
      </w:r>
      <w:proofErr w:type="spellStart"/>
      <w:r w:rsidR="003A0601">
        <w:t>Southeastern</w:t>
      </w:r>
      <w:proofErr w:type="spellEnd"/>
      <w:r w:rsidR="003A0601">
        <w:t>, but across the HE sector (</w:t>
      </w:r>
      <w:r w:rsidR="003A0601" w:rsidRPr="00BB6681">
        <w:rPr>
          <w:szCs w:val="22"/>
        </w:rPr>
        <w:t>Higher Education Statistics Agency, 2016)</w:t>
      </w:r>
      <w:r w:rsidR="003A0601">
        <w:rPr>
          <w:szCs w:val="22"/>
        </w:rPr>
        <w:t xml:space="preserve">.  </w:t>
      </w:r>
    </w:p>
    <w:p w:rsidR="00D05543" w:rsidRDefault="003B66C6" w:rsidP="003A0601">
      <w:pPr>
        <w:spacing w:after="120"/>
        <w:ind w:firstLine="227"/>
        <w:rPr>
          <w:szCs w:val="22"/>
        </w:rPr>
      </w:pPr>
      <w:r>
        <w:rPr>
          <w:szCs w:val="22"/>
        </w:rPr>
        <w:t>This paper</w:t>
      </w:r>
      <w:r w:rsidRPr="00BB6681">
        <w:rPr>
          <w:szCs w:val="22"/>
        </w:rPr>
        <w:t xml:space="preserve"> </w:t>
      </w:r>
      <w:r>
        <w:rPr>
          <w:szCs w:val="22"/>
        </w:rPr>
        <w:t>focuses on transition into HE</w:t>
      </w:r>
      <w:r w:rsidR="00AD74FF">
        <w:rPr>
          <w:szCs w:val="22"/>
        </w:rPr>
        <w:t xml:space="preserve"> and the use of collage as an artful inquiry into participants’ liminal experiences</w:t>
      </w:r>
      <w:r w:rsidR="00AD74FF" w:rsidRPr="00BB6681">
        <w:rPr>
          <w:szCs w:val="22"/>
        </w:rPr>
        <w:t>.</w:t>
      </w:r>
      <w:r w:rsidR="00AD74FF">
        <w:rPr>
          <w:szCs w:val="22"/>
        </w:rPr>
        <w:t xml:space="preserve">  It is concerned with unpacking the early experience of WP students </w:t>
      </w:r>
      <w:proofErr w:type="gramStart"/>
      <w:r w:rsidR="00AD74FF">
        <w:rPr>
          <w:szCs w:val="22"/>
        </w:rPr>
        <w:t>in order to</w:t>
      </w:r>
      <w:proofErr w:type="gramEnd"/>
      <w:r w:rsidR="00AD74FF">
        <w:rPr>
          <w:szCs w:val="22"/>
        </w:rPr>
        <w:t xml:space="preserve"> </w:t>
      </w:r>
      <w:r w:rsidR="00D05543">
        <w:rPr>
          <w:szCs w:val="22"/>
        </w:rPr>
        <w:t xml:space="preserve">identify obstacles that may contribute to difficulties and the aforementioned distortion of graduate outcomes.  </w:t>
      </w:r>
      <w:proofErr w:type="gramStart"/>
      <w:r w:rsidR="00D05543">
        <w:rPr>
          <w:szCs w:val="22"/>
        </w:rPr>
        <w:t xml:space="preserve">Particular </w:t>
      </w:r>
      <w:r w:rsidR="00D05543">
        <w:rPr>
          <w:szCs w:val="22"/>
        </w:rPr>
        <w:lastRenderedPageBreak/>
        <w:t>attention</w:t>
      </w:r>
      <w:proofErr w:type="gramEnd"/>
      <w:r w:rsidR="00D05543">
        <w:rPr>
          <w:szCs w:val="22"/>
        </w:rPr>
        <w:t xml:space="preserve"> is paid to the institutional environment and offers specific recommendations for </w:t>
      </w:r>
      <w:proofErr w:type="spellStart"/>
      <w:r w:rsidR="00D05543">
        <w:rPr>
          <w:szCs w:val="22"/>
        </w:rPr>
        <w:t>Southeastern’s</w:t>
      </w:r>
      <w:proofErr w:type="spellEnd"/>
      <w:r w:rsidR="00D05543">
        <w:rPr>
          <w:szCs w:val="22"/>
        </w:rPr>
        <w:t xml:space="preserve"> senior leadership team, based on participants’ experiences.</w:t>
      </w:r>
    </w:p>
    <w:p w:rsidR="00911A6E" w:rsidRDefault="00911A6E" w:rsidP="00911A6E">
      <w:pPr>
        <w:spacing w:after="120"/>
        <w:ind w:firstLine="227"/>
        <w:rPr>
          <w:szCs w:val="22"/>
        </w:rPr>
      </w:pPr>
      <w:r w:rsidRPr="00BB6681">
        <w:rPr>
          <w:szCs w:val="22"/>
        </w:rPr>
        <w:t xml:space="preserve">The rest of this paper is devoted to </w:t>
      </w:r>
      <w:r w:rsidR="00D05543">
        <w:rPr>
          <w:szCs w:val="22"/>
        </w:rPr>
        <w:t>the following sections.  A</w:t>
      </w:r>
      <w:r w:rsidRPr="00BB6681">
        <w:rPr>
          <w:szCs w:val="22"/>
        </w:rPr>
        <w:t xml:space="preserve"> literature review </w:t>
      </w:r>
      <w:r w:rsidR="00D05543">
        <w:rPr>
          <w:szCs w:val="22"/>
        </w:rPr>
        <w:t>introduces HE</w:t>
      </w:r>
      <w:r w:rsidR="001E381F">
        <w:rPr>
          <w:szCs w:val="22"/>
        </w:rPr>
        <w:t xml:space="preserve"> </w:t>
      </w:r>
      <w:r w:rsidRPr="00BB6681">
        <w:rPr>
          <w:szCs w:val="22"/>
        </w:rPr>
        <w:t>transition</w:t>
      </w:r>
      <w:r w:rsidR="001E381F">
        <w:rPr>
          <w:szCs w:val="22"/>
        </w:rPr>
        <w:t xml:space="preserve"> from a WP perspective</w:t>
      </w:r>
      <w:r w:rsidRPr="00BB6681">
        <w:rPr>
          <w:szCs w:val="22"/>
        </w:rPr>
        <w:t xml:space="preserve">.  A methodology section considers why </w:t>
      </w:r>
      <w:r w:rsidR="001E381F">
        <w:rPr>
          <w:szCs w:val="22"/>
        </w:rPr>
        <w:t>artful inquiry</w:t>
      </w:r>
      <w:r w:rsidRPr="00BB6681">
        <w:rPr>
          <w:szCs w:val="22"/>
        </w:rPr>
        <w:t xml:space="preserve">, and collage </w:t>
      </w:r>
      <w:proofErr w:type="gramStart"/>
      <w:r w:rsidRPr="00BB6681">
        <w:rPr>
          <w:szCs w:val="22"/>
        </w:rPr>
        <w:t>in particular, might</w:t>
      </w:r>
      <w:proofErr w:type="gramEnd"/>
      <w:r w:rsidRPr="00BB6681">
        <w:rPr>
          <w:szCs w:val="22"/>
        </w:rPr>
        <w:t xml:space="preserve"> be appropriate for this kind of research.  This is followed by </w:t>
      </w:r>
      <w:r w:rsidR="001E381F">
        <w:rPr>
          <w:szCs w:val="22"/>
        </w:rPr>
        <w:t xml:space="preserve">early </w:t>
      </w:r>
      <w:r w:rsidRPr="00BB6681">
        <w:rPr>
          <w:szCs w:val="22"/>
        </w:rPr>
        <w:t xml:space="preserve">findings </w:t>
      </w:r>
      <w:r w:rsidR="001E381F">
        <w:rPr>
          <w:szCs w:val="22"/>
        </w:rPr>
        <w:t>around students’ transitional experience</w:t>
      </w:r>
      <w:r w:rsidRPr="00BB6681">
        <w:rPr>
          <w:szCs w:val="22"/>
        </w:rPr>
        <w:t xml:space="preserve">, which are then discussed </w:t>
      </w:r>
      <w:proofErr w:type="gramStart"/>
      <w:r w:rsidRPr="00BB6681">
        <w:rPr>
          <w:szCs w:val="22"/>
        </w:rPr>
        <w:t>in light of</w:t>
      </w:r>
      <w:proofErr w:type="gramEnd"/>
      <w:r w:rsidRPr="00BB6681">
        <w:rPr>
          <w:szCs w:val="22"/>
        </w:rPr>
        <w:t xml:space="preserve"> relevant literature.  A conclusion considers </w:t>
      </w:r>
      <w:r w:rsidR="001E381F">
        <w:rPr>
          <w:szCs w:val="22"/>
        </w:rPr>
        <w:t xml:space="preserve">initial recommendations </w:t>
      </w:r>
      <w:r w:rsidRPr="00BB6681">
        <w:rPr>
          <w:szCs w:val="22"/>
        </w:rPr>
        <w:t xml:space="preserve">as well some limitations </w:t>
      </w:r>
      <w:r w:rsidR="001E381F">
        <w:rPr>
          <w:szCs w:val="22"/>
        </w:rPr>
        <w:t xml:space="preserve">and next steps </w:t>
      </w:r>
      <w:r w:rsidRPr="00BB6681">
        <w:rPr>
          <w:szCs w:val="22"/>
        </w:rPr>
        <w:t>of the research</w:t>
      </w:r>
      <w:bookmarkEnd w:id="5"/>
      <w:r w:rsidRPr="00BB6681">
        <w:rPr>
          <w:szCs w:val="22"/>
        </w:rPr>
        <w:t>.</w:t>
      </w:r>
    </w:p>
    <w:p w:rsidR="009C6C0F" w:rsidRDefault="00911A6E" w:rsidP="00FC7FD5">
      <w:pPr>
        <w:pStyle w:val="Heading1"/>
      </w:pPr>
      <w:r>
        <w:t>Literature review</w:t>
      </w:r>
      <w:r w:rsidRPr="00BB6681">
        <w:t xml:space="preserve"> </w:t>
      </w:r>
    </w:p>
    <w:p w:rsidR="00911A6E" w:rsidRDefault="00341500" w:rsidP="00911A6E">
      <w:pPr>
        <w:pStyle w:val="Heading2"/>
      </w:pPr>
      <w:bookmarkStart w:id="6" w:name="_Hlk498693968"/>
      <w:r>
        <w:t>WP student transition</w:t>
      </w:r>
    </w:p>
    <w:p w:rsidR="00896450" w:rsidRDefault="00896450" w:rsidP="002B4988">
      <w:pPr>
        <w:spacing w:after="120"/>
        <w:ind w:firstLine="227"/>
      </w:pPr>
      <w:bookmarkStart w:id="7" w:name="_Hlk498694084"/>
      <w:bookmarkEnd w:id="6"/>
      <w:r w:rsidRPr="00BB6681">
        <w:t xml:space="preserve">Transition as a concept is </w:t>
      </w:r>
      <w:proofErr w:type="gramStart"/>
      <w:r w:rsidRPr="00BB6681">
        <w:t>fairly underdeveloped</w:t>
      </w:r>
      <w:proofErr w:type="gramEnd"/>
      <w:r w:rsidRPr="00BB6681">
        <w:t xml:space="preserve"> within HE and especially with regards to WP students entering university (Gale and Parker, 2014).  Despite limited definitions across the sector (Ecclestone, </w:t>
      </w:r>
      <w:proofErr w:type="spellStart"/>
      <w:r w:rsidRPr="00BB6681">
        <w:t>Biesta</w:t>
      </w:r>
      <w:proofErr w:type="spellEnd"/>
      <w:r w:rsidRPr="00BB6681">
        <w:t xml:space="preserve"> and Hughes, 2010), Gale and Parker (2014)</w:t>
      </w:r>
      <w:r>
        <w:t xml:space="preserve"> suggest </w:t>
      </w:r>
      <w:r w:rsidR="00A84238">
        <w:t xml:space="preserve">educational </w:t>
      </w:r>
      <w:r>
        <w:t xml:space="preserve">transition </w:t>
      </w:r>
      <w:r w:rsidR="002E0673">
        <w:t>should be observed two</w:t>
      </w:r>
      <w:r w:rsidR="00A84238">
        <w:t>fold, as both movement into a new environment and as a process in which individuals undergo some change.</w:t>
      </w:r>
    </w:p>
    <w:p w:rsidR="00627A56" w:rsidRDefault="00A84238" w:rsidP="002B4988">
      <w:pPr>
        <w:spacing w:after="120"/>
        <w:ind w:firstLine="227"/>
      </w:pPr>
      <w:r>
        <w:t xml:space="preserve">Gale and Parker (2014) also remark that research into </w:t>
      </w:r>
      <w:r w:rsidR="00E54500">
        <w:t>HE</w:t>
      </w:r>
      <w:r>
        <w:t xml:space="preserve"> </w:t>
      </w:r>
      <w:proofErr w:type="gramStart"/>
      <w:r>
        <w:t>transition</w:t>
      </w:r>
      <w:proofErr w:type="gramEnd"/>
      <w:r>
        <w:t xml:space="preserve"> tends to incorporate wider observations on </w:t>
      </w:r>
      <w:r w:rsidR="002B4988">
        <w:t>the first year of study and a sense of belonging to new learning communities</w:t>
      </w:r>
      <w:r w:rsidR="002E0673">
        <w:t xml:space="preserve">, which this paper and </w:t>
      </w:r>
      <w:proofErr w:type="spellStart"/>
      <w:r w:rsidR="002E0673">
        <w:t>EdD</w:t>
      </w:r>
      <w:proofErr w:type="spellEnd"/>
      <w:r w:rsidR="002E0673">
        <w:t xml:space="preserve"> continue to do</w:t>
      </w:r>
      <w:r w:rsidR="002B4988">
        <w:t>.  Studies</w:t>
      </w:r>
      <w:r w:rsidR="00904BF2">
        <w:t xml:space="preserve"> on transition tend to </w:t>
      </w:r>
      <w:r w:rsidR="002B4988">
        <w:t>concentrate</w:t>
      </w:r>
      <w:r w:rsidR="00904BF2">
        <w:t xml:space="preserve"> on difficult periods in early university lives, often </w:t>
      </w:r>
      <w:r w:rsidR="00EE7785">
        <w:t>uncovering</w:t>
      </w:r>
      <w:r w:rsidR="00E54500">
        <w:t xml:space="preserve"> </w:t>
      </w:r>
      <w:r w:rsidR="00EE7785">
        <w:t>students’</w:t>
      </w:r>
      <w:r w:rsidR="002B4988">
        <w:t xml:space="preserve"> lack of preparation </w:t>
      </w:r>
      <w:r w:rsidR="00904BF2">
        <w:t xml:space="preserve">for HE </w:t>
      </w:r>
      <w:r w:rsidR="002B4988">
        <w:t>(Reay et al, 2010 and Price et al. 2011)</w:t>
      </w:r>
      <w:r w:rsidR="00904BF2">
        <w:t xml:space="preserve">, including struggles </w:t>
      </w:r>
      <w:r w:rsidR="000A35A1">
        <w:t>with independent</w:t>
      </w:r>
      <w:r w:rsidR="00904BF2">
        <w:t xml:space="preserve"> learning (</w:t>
      </w:r>
      <w:proofErr w:type="spellStart"/>
      <w:r w:rsidR="00904BF2">
        <w:t>Kember</w:t>
      </w:r>
      <w:proofErr w:type="spellEnd"/>
      <w:r w:rsidR="00904BF2">
        <w:t>, 2001 and Krause and Coates, 2008).</w:t>
      </w:r>
      <w:r w:rsidR="000A35A1">
        <w:t xml:space="preserve">  The lack of capitals, </w:t>
      </w:r>
      <w:r w:rsidR="00EE7785">
        <w:t>honed</w:t>
      </w:r>
      <w:r w:rsidR="00A1256B">
        <w:t xml:space="preserve"> by</w:t>
      </w:r>
      <w:r w:rsidR="000A35A1">
        <w:t xml:space="preserve"> Bourdieu (</w:t>
      </w:r>
      <w:r w:rsidR="000F7671">
        <w:t xml:space="preserve">1977, </w:t>
      </w:r>
      <w:r w:rsidR="000A35A1">
        <w:t xml:space="preserve">1984 and 1986) </w:t>
      </w:r>
      <w:r w:rsidR="00A1256B">
        <w:t xml:space="preserve">as </w:t>
      </w:r>
      <w:r w:rsidR="000A35A1">
        <w:t xml:space="preserve">embodied cultural, economic and social codes that allow individuals to successfully </w:t>
      </w:r>
      <w:r w:rsidR="00A1256B">
        <w:t>navigate</w:t>
      </w:r>
      <w:r w:rsidR="000A35A1">
        <w:t xml:space="preserve"> potentially alien environments like </w:t>
      </w:r>
      <w:r w:rsidR="00E54500">
        <w:t>HE</w:t>
      </w:r>
      <w:r w:rsidR="000A35A1">
        <w:t xml:space="preserve">, is sometimes cited as an important driver for awkward transitions into university (Gale and Parker, 2014).  </w:t>
      </w:r>
      <w:r w:rsidR="00EC19BE">
        <w:t xml:space="preserve">Bourdieu and </w:t>
      </w:r>
      <w:proofErr w:type="spellStart"/>
      <w:r w:rsidR="00EC19BE">
        <w:t>Passeron</w:t>
      </w:r>
      <w:proofErr w:type="spellEnd"/>
      <w:r w:rsidR="00EC19BE">
        <w:t xml:space="preserve"> (1977) intimate t</w:t>
      </w:r>
      <w:r w:rsidR="000A35A1">
        <w:t xml:space="preserve">his </w:t>
      </w:r>
      <w:r w:rsidR="00A1256B">
        <w:t xml:space="preserve">can </w:t>
      </w:r>
      <w:r w:rsidR="000F7671">
        <w:t xml:space="preserve">manifest itself as an expectations mismatch amongst students concerning the type of learning experience they assume awaits them, which if unresolved can trigger stress and a potential withdrawal from university (Leese, 2010).  </w:t>
      </w:r>
      <w:r w:rsidR="00BD733C">
        <w:t xml:space="preserve">Tapping into Bourdieu (1990) once more, students in such situations are said to lack a “feel for the game” (p.9), </w:t>
      </w:r>
      <w:r w:rsidR="00627A56">
        <w:t xml:space="preserve">suggesting they are not aware of rules, codes or knowledge that would facilitate their transition into </w:t>
      </w:r>
      <w:proofErr w:type="gramStart"/>
      <w:r w:rsidR="00627A56">
        <w:t>HE</w:t>
      </w:r>
      <w:proofErr w:type="gramEnd"/>
      <w:r w:rsidR="00627A56">
        <w:t xml:space="preserve">.  </w:t>
      </w:r>
    </w:p>
    <w:p w:rsidR="00526EC2" w:rsidRDefault="00956F83" w:rsidP="002B4988">
      <w:pPr>
        <w:spacing w:after="120"/>
        <w:ind w:firstLine="227"/>
      </w:pPr>
      <w:r>
        <w:t>These mismatches can be particularly acute for WP students whose needs may be less accounted for than for their more advantaged peers (Archer, 2007) and whose transitions are as a result more difficult, leading to higher levels of withdrawals (</w:t>
      </w:r>
      <w:proofErr w:type="spellStart"/>
      <w:r w:rsidRPr="00BB6681">
        <w:t>Kift</w:t>
      </w:r>
      <w:proofErr w:type="spellEnd"/>
      <w:r w:rsidRPr="00BB6681">
        <w:t xml:space="preserve"> and Nelson, 2005 and </w:t>
      </w:r>
      <w:proofErr w:type="spellStart"/>
      <w:r w:rsidRPr="00BB6681">
        <w:t>Kift</w:t>
      </w:r>
      <w:proofErr w:type="spellEnd"/>
      <w:r w:rsidRPr="00BB6681">
        <w:t>, 2009</w:t>
      </w:r>
      <w:r>
        <w:t xml:space="preserve">).  </w:t>
      </w:r>
      <w:r w:rsidR="00526EC2">
        <w:t xml:space="preserve">Reay et al. (2009) noted, in their study of WP students at an elite British university, a disconnect between the success students wanted to achieve and a </w:t>
      </w:r>
      <w:r w:rsidR="00627A56">
        <w:t>dearth</w:t>
      </w:r>
      <w:r w:rsidR="00526EC2">
        <w:t xml:space="preserve"> of appropriate capital to enable those outcomes</w:t>
      </w:r>
      <w:r w:rsidR="00627A56">
        <w:t>—leading the authors to confirm students did not have a feel for the game</w:t>
      </w:r>
      <w:r w:rsidR="00526EC2">
        <w:t>.</w:t>
      </w:r>
      <w:r w:rsidR="00BD733C">
        <w:t xml:space="preserve">  </w:t>
      </w:r>
    </w:p>
    <w:p w:rsidR="002E0673" w:rsidRDefault="000F7671" w:rsidP="002B4988">
      <w:pPr>
        <w:spacing w:after="120"/>
        <w:ind w:firstLine="227"/>
      </w:pPr>
      <w:r>
        <w:t xml:space="preserve">A recent study (Christie et al., 2016) points to </w:t>
      </w:r>
      <w:r w:rsidR="002E0673">
        <w:t xml:space="preserve">incoming </w:t>
      </w:r>
      <w:r w:rsidR="00956F83">
        <w:t xml:space="preserve">WP </w:t>
      </w:r>
      <w:r>
        <w:t xml:space="preserve">students requiring a very specific skill set (advanced writing and critical thinking) to help them navigate difficult periods and become integrated members of HE </w:t>
      </w:r>
      <w:proofErr w:type="gramStart"/>
      <w:r>
        <w:t>learning</w:t>
      </w:r>
      <w:proofErr w:type="gramEnd"/>
      <w:r>
        <w:t xml:space="preserve"> communities.  Their assessment is that this process is gradual</w:t>
      </w:r>
      <w:r w:rsidR="00956F83">
        <w:t xml:space="preserve"> and is eventually realised in the </w:t>
      </w:r>
      <w:r w:rsidR="000700D0">
        <w:t>final degree year, thus avoiding any withdrawal</w:t>
      </w:r>
      <w:r w:rsidR="00956F83">
        <w:t>.</w:t>
      </w:r>
      <w:r>
        <w:t xml:space="preserve">  </w:t>
      </w:r>
      <w:r w:rsidR="00956F83">
        <w:t xml:space="preserve">While this may have been the case for that </w:t>
      </w:r>
      <w:r w:rsidR="00956F83">
        <w:lastRenderedPageBreak/>
        <w:t>study’s participants</w:t>
      </w:r>
      <w:r w:rsidR="000700D0">
        <w:t xml:space="preserve">, </w:t>
      </w:r>
      <w:r w:rsidR="00956F83">
        <w:t>attending a research-intensive Scottish university, it may not be so for students at other types of HEIs, such as post-</w:t>
      </w:r>
      <w:r w:rsidR="000700D0">
        <w:t>19</w:t>
      </w:r>
      <w:r w:rsidR="00956F83">
        <w:t xml:space="preserve">92 universities.  </w:t>
      </w:r>
    </w:p>
    <w:p w:rsidR="000F7671" w:rsidRDefault="00956F83" w:rsidP="002B4988">
      <w:pPr>
        <w:spacing w:after="120"/>
        <w:ind w:firstLine="227"/>
      </w:pPr>
      <w:proofErr w:type="spellStart"/>
      <w:r>
        <w:t>Farenga</w:t>
      </w:r>
      <w:proofErr w:type="spellEnd"/>
      <w:r>
        <w:t xml:space="preserve"> et al. (2016) found that </w:t>
      </w:r>
      <w:r w:rsidR="00176115">
        <w:t xml:space="preserve">first year WP students in 2013/14 at </w:t>
      </w:r>
      <w:r w:rsidR="00A84238">
        <w:t xml:space="preserve">a post-1992 </w:t>
      </w:r>
      <w:r w:rsidR="00176115">
        <w:t xml:space="preserve">university </w:t>
      </w:r>
      <w:r w:rsidR="000700D0">
        <w:t xml:space="preserve">were twice as likely to withdraw </w:t>
      </w:r>
      <w:r w:rsidR="00176115">
        <w:t xml:space="preserve">as </w:t>
      </w:r>
      <w:r w:rsidR="000700D0">
        <w:t xml:space="preserve">other </w:t>
      </w:r>
      <w:r w:rsidR="00A84238">
        <w:t>first years</w:t>
      </w:r>
      <w:r w:rsidR="00176115">
        <w:t>.</w:t>
      </w:r>
      <w:r w:rsidR="000F7671">
        <w:t xml:space="preserve"> </w:t>
      </w:r>
      <w:r w:rsidR="00341500">
        <w:t xml:space="preserve"> </w:t>
      </w:r>
      <w:r w:rsidR="000700D0">
        <w:t xml:space="preserve">This highlights potential difficulties for first year WP students and suggests many of these students cannot rely on skill development and integration over </w:t>
      </w:r>
      <w:proofErr w:type="gramStart"/>
      <w:r w:rsidR="000700D0">
        <w:t>a number of</w:t>
      </w:r>
      <w:proofErr w:type="gramEnd"/>
      <w:r w:rsidR="000700D0">
        <w:t xml:space="preserve"> years as a preventative dropout measure.  </w:t>
      </w:r>
      <w:r w:rsidR="00341500">
        <w:t xml:space="preserve">Although withdrawal is a complex phenomenon, with many potential intersecting influences (Yorke and </w:t>
      </w:r>
      <w:proofErr w:type="spellStart"/>
      <w:r w:rsidR="00341500">
        <w:t>Longden</w:t>
      </w:r>
      <w:proofErr w:type="spellEnd"/>
      <w:r w:rsidR="00341500">
        <w:t xml:space="preserve">, 2004), a key factor in this outcome in post-1992 HEIs may be a student’s lack of established social networks (Yorke and </w:t>
      </w:r>
      <w:proofErr w:type="spellStart"/>
      <w:r w:rsidR="00341500">
        <w:t>Longden</w:t>
      </w:r>
      <w:proofErr w:type="spellEnd"/>
      <w:r w:rsidR="00341500">
        <w:t xml:space="preserve">, 2007) and general lack of social integration (Wingate, 2007).  </w:t>
      </w:r>
      <w:r w:rsidR="00113B27">
        <w:t>This is especially pertinent for post-1992 low and medium tariff universities</w:t>
      </w:r>
      <w:r w:rsidR="002E0673">
        <w:t xml:space="preserve">, such as </w:t>
      </w:r>
      <w:proofErr w:type="spellStart"/>
      <w:r w:rsidR="002E0673">
        <w:t>Southeastern</w:t>
      </w:r>
      <w:proofErr w:type="spellEnd"/>
      <w:r w:rsidR="002E0673">
        <w:t>,</w:t>
      </w:r>
      <w:r w:rsidR="00113B27">
        <w:t xml:space="preserve"> who have higher intakes of WP </w:t>
      </w:r>
      <w:r w:rsidR="002E0673">
        <w:t>students,</w:t>
      </w:r>
      <w:r w:rsidR="00113B27">
        <w:t xml:space="preserve"> compared to pre-1992 higher tariff institutions (UCAS, 2014).</w:t>
      </w:r>
    </w:p>
    <w:p w:rsidR="001F26EF" w:rsidRDefault="002E0673" w:rsidP="001F26EF">
      <w:pPr>
        <w:spacing w:after="120"/>
        <w:ind w:firstLine="227"/>
      </w:pPr>
      <w:r>
        <w:t xml:space="preserve">Despite studies, </w:t>
      </w:r>
      <w:r w:rsidR="00113B27">
        <w:t>such as Christie et al. (2016)</w:t>
      </w:r>
      <w:r>
        <w:t>,</w:t>
      </w:r>
      <w:r w:rsidR="00113B27">
        <w:t xml:space="preserve"> tracking WP students across their HE lifecycle, and in the face of bloated first year withdrawal rates, it appears that more knowledge is required about their early, first year experience, which this </w:t>
      </w:r>
      <w:r w:rsidR="000700D0">
        <w:t>paper</w:t>
      </w:r>
      <w:r w:rsidR="00113B27">
        <w:t xml:space="preserve"> </w:t>
      </w:r>
      <w:r w:rsidR="00E54500">
        <w:t>aims</w:t>
      </w:r>
      <w:r w:rsidR="00113B27">
        <w:t xml:space="preserve"> to provide. </w:t>
      </w:r>
      <w:r w:rsidR="003513C5">
        <w:t xml:space="preserve"> None of the studies cited here relied on collage (or artful inquiry) to elicit experiences, so perhaps there is much to be gained in this approach.</w:t>
      </w:r>
    </w:p>
    <w:bookmarkEnd w:id="7"/>
    <w:p w:rsidR="00911A6E" w:rsidRDefault="00911A6E" w:rsidP="00911A6E">
      <w:pPr>
        <w:pStyle w:val="Heading1"/>
      </w:pPr>
      <w:r>
        <w:t>Methodological considerations</w:t>
      </w:r>
    </w:p>
    <w:p w:rsidR="00D05543" w:rsidRDefault="00D05543" w:rsidP="00911A6E">
      <w:pPr>
        <w:pStyle w:val="Heading2"/>
      </w:pPr>
      <w:r>
        <w:t>Artful inquiry</w:t>
      </w:r>
    </w:p>
    <w:p w:rsidR="00D05543" w:rsidRDefault="00D05543" w:rsidP="00D05543">
      <w:pPr>
        <w:spacing w:after="120"/>
        <w:ind w:firstLine="227"/>
        <w:rPr>
          <w:szCs w:val="22"/>
        </w:rPr>
      </w:pPr>
      <w:r>
        <w:rPr>
          <w:szCs w:val="22"/>
        </w:rPr>
        <w:t xml:space="preserve">This paper uses the term artful inquiry to denote the use of art-making as a form of inquiry into experience.  </w:t>
      </w:r>
      <w:r w:rsidRPr="00BB6681">
        <w:rPr>
          <w:szCs w:val="22"/>
        </w:rPr>
        <w:t xml:space="preserve">Eisner (2008) </w:t>
      </w:r>
      <w:r>
        <w:rPr>
          <w:szCs w:val="22"/>
        </w:rPr>
        <w:t xml:space="preserve">and Davis (2008) </w:t>
      </w:r>
      <w:r w:rsidRPr="00BB6681">
        <w:rPr>
          <w:szCs w:val="22"/>
        </w:rPr>
        <w:t xml:space="preserve">suggest </w:t>
      </w:r>
      <w:r>
        <w:rPr>
          <w:szCs w:val="22"/>
        </w:rPr>
        <w:t>this</w:t>
      </w:r>
      <w:r w:rsidRPr="00BB6681">
        <w:rPr>
          <w:szCs w:val="22"/>
        </w:rPr>
        <w:t xml:space="preserve"> approach is particularly useful if research aims to interpret feelings, emotions or responses in relation to </w:t>
      </w:r>
      <w:r>
        <w:rPr>
          <w:szCs w:val="22"/>
        </w:rPr>
        <w:t xml:space="preserve">liminal </w:t>
      </w:r>
      <w:r w:rsidRPr="00BB6681">
        <w:rPr>
          <w:szCs w:val="22"/>
        </w:rPr>
        <w:t>phenomena: “the life of feeling is best revealed through those forms of feeling we call the arts” (</w:t>
      </w:r>
      <w:r>
        <w:rPr>
          <w:szCs w:val="22"/>
        </w:rPr>
        <w:t>Eisner, p.</w:t>
      </w:r>
      <w:r w:rsidRPr="00BB6681">
        <w:rPr>
          <w:szCs w:val="22"/>
        </w:rPr>
        <w:t xml:space="preserve">7).  </w:t>
      </w:r>
      <w:r>
        <w:rPr>
          <w:szCs w:val="22"/>
        </w:rPr>
        <w:t xml:space="preserve">This translates as using a mode of artful inquiry (participant created collage) as a medium for understanding and interpreting liminal, transitional spaces (their transition into university).  The </w:t>
      </w:r>
      <w:r w:rsidRPr="00BB6681">
        <w:rPr>
          <w:szCs w:val="22"/>
        </w:rPr>
        <w:t>ability of artful modes of inquiry</w:t>
      </w:r>
      <w:r>
        <w:rPr>
          <w:szCs w:val="22"/>
        </w:rPr>
        <w:t>, such as collage,</w:t>
      </w:r>
      <w:r w:rsidRPr="00BB6681">
        <w:rPr>
          <w:szCs w:val="22"/>
        </w:rPr>
        <w:t xml:space="preserve"> to tap into a multiplicity of realities</w:t>
      </w:r>
      <w:r>
        <w:rPr>
          <w:szCs w:val="22"/>
        </w:rPr>
        <w:t xml:space="preserve"> (Creswell, 2003), such as the different ways students experience transition,</w:t>
      </w:r>
      <w:r w:rsidRPr="00BB6681">
        <w:rPr>
          <w:szCs w:val="22"/>
        </w:rPr>
        <w:t xml:space="preserve"> </w:t>
      </w:r>
      <w:r>
        <w:rPr>
          <w:szCs w:val="22"/>
        </w:rPr>
        <w:t xml:space="preserve">is also especially pertinent to this research. </w:t>
      </w:r>
    </w:p>
    <w:p w:rsidR="00D05543" w:rsidRDefault="00D05543" w:rsidP="0029595E">
      <w:pPr>
        <w:pStyle w:val="Heading2"/>
      </w:pPr>
      <w:r>
        <w:t>Collage: a visual, elicitation tool</w:t>
      </w:r>
    </w:p>
    <w:p w:rsidR="00911A6E" w:rsidRDefault="00911A6E" w:rsidP="00911A6E">
      <w:pPr>
        <w:spacing w:after="120"/>
        <w:ind w:firstLine="227"/>
        <w:rPr>
          <w:szCs w:val="22"/>
        </w:rPr>
      </w:pPr>
      <w:r>
        <w:rPr>
          <w:szCs w:val="22"/>
        </w:rPr>
        <w:t xml:space="preserve">At its core, collage involves </w:t>
      </w:r>
      <w:r w:rsidRPr="00BB6681">
        <w:rPr>
          <w:szCs w:val="22"/>
        </w:rPr>
        <w:t>the cutting and pasting of different materials</w:t>
      </w:r>
      <w:r>
        <w:rPr>
          <w:szCs w:val="22"/>
        </w:rPr>
        <w:t>, such as print images and craft fragments, onto a solid base forming a new visual composition and creating</w:t>
      </w:r>
      <w:r w:rsidRPr="00BB6681">
        <w:rPr>
          <w:szCs w:val="22"/>
        </w:rPr>
        <w:t xml:space="preserve"> representations (Davis, 2008) or “whole new-take[s]” on experiences (Butler-</w:t>
      </w:r>
      <w:proofErr w:type="spellStart"/>
      <w:r w:rsidRPr="00BB6681">
        <w:rPr>
          <w:szCs w:val="22"/>
        </w:rPr>
        <w:t>Kisber</w:t>
      </w:r>
      <w:proofErr w:type="spellEnd"/>
      <w:r w:rsidRPr="00BB6681">
        <w:rPr>
          <w:szCs w:val="22"/>
        </w:rPr>
        <w:t xml:space="preserve"> and </w:t>
      </w:r>
      <w:proofErr w:type="spellStart"/>
      <w:r w:rsidRPr="00BB6681">
        <w:rPr>
          <w:szCs w:val="22"/>
        </w:rPr>
        <w:t>Poldma</w:t>
      </w:r>
      <w:proofErr w:type="spellEnd"/>
      <w:r w:rsidR="00EA0CF8">
        <w:rPr>
          <w:szCs w:val="22"/>
        </w:rPr>
        <w:t>, 2009,</w:t>
      </w:r>
      <w:r>
        <w:rPr>
          <w:szCs w:val="22"/>
        </w:rPr>
        <w:t xml:space="preserve"> </w:t>
      </w:r>
      <w:r w:rsidR="00EA0CF8">
        <w:rPr>
          <w:szCs w:val="22"/>
        </w:rPr>
        <w:t>p.</w:t>
      </w:r>
      <w:r w:rsidRPr="00BB6681">
        <w:rPr>
          <w:szCs w:val="22"/>
        </w:rPr>
        <w:t xml:space="preserve">12).  </w:t>
      </w:r>
    </w:p>
    <w:p w:rsidR="00911A6E" w:rsidRDefault="00911A6E" w:rsidP="00911A6E">
      <w:pPr>
        <w:spacing w:after="120"/>
        <w:ind w:firstLine="227"/>
        <w:rPr>
          <w:szCs w:val="22"/>
        </w:rPr>
      </w:pPr>
      <w:r>
        <w:rPr>
          <w:szCs w:val="22"/>
        </w:rPr>
        <w:t>Collage has a long history as an art form, dating back to Classical Japan over 1000 years ago, but was somewhat rediscovered by 20</w:t>
      </w:r>
      <w:r w:rsidRPr="00847C20">
        <w:rPr>
          <w:szCs w:val="22"/>
          <w:vertAlign w:val="superscript"/>
        </w:rPr>
        <w:t>th</w:t>
      </w:r>
      <w:r>
        <w:rPr>
          <w:szCs w:val="22"/>
        </w:rPr>
        <w:t xml:space="preserve"> Century cubists, including Picasso and Braque, who paved the way for Dadaists and others to continue experimenting (Butler-</w:t>
      </w:r>
      <w:proofErr w:type="spellStart"/>
      <w:r>
        <w:rPr>
          <w:szCs w:val="22"/>
        </w:rPr>
        <w:t>Kisber</w:t>
      </w:r>
      <w:proofErr w:type="spellEnd"/>
      <w:r>
        <w:rPr>
          <w:szCs w:val="22"/>
        </w:rPr>
        <w:t xml:space="preserve">, 2009).  The inclusion of different elements allowed artists to portray many realities in much the same way that this research proposes students can use collages to composite their university experience. More recently, collage has been used as a form of art therapy for people suffering from body image </w:t>
      </w:r>
      <w:r w:rsidR="00996307">
        <w:rPr>
          <w:szCs w:val="22"/>
        </w:rPr>
        <w:t xml:space="preserve">and eating </w:t>
      </w:r>
      <w:r w:rsidR="00996307">
        <w:rPr>
          <w:szCs w:val="22"/>
        </w:rPr>
        <w:lastRenderedPageBreak/>
        <w:t>disorders</w:t>
      </w:r>
      <w:r>
        <w:rPr>
          <w:szCs w:val="22"/>
        </w:rPr>
        <w:t xml:space="preserve"> (Davis</w:t>
      </w:r>
      <w:r w:rsidR="00996307">
        <w:rPr>
          <w:szCs w:val="22"/>
        </w:rPr>
        <w:t>, 2008</w:t>
      </w:r>
      <w:r>
        <w:rPr>
          <w:szCs w:val="22"/>
        </w:rPr>
        <w:t xml:space="preserve">), as a </w:t>
      </w:r>
      <w:r w:rsidR="00996307">
        <w:rPr>
          <w:szCs w:val="22"/>
        </w:rPr>
        <w:t xml:space="preserve">biographical tool (Vaughn, 2005), as a </w:t>
      </w:r>
      <w:r>
        <w:rPr>
          <w:szCs w:val="22"/>
        </w:rPr>
        <w:t>pedagogical tool in educational contexts (Butler-</w:t>
      </w:r>
      <w:proofErr w:type="spellStart"/>
      <w:r>
        <w:rPr>
          <w:szCs w:val="22"/>
        </w:rPr>
        <w:t>Kisber</w:t>
      </w:r>
      <w:proofErr w:type="spellEnd"/>
      <w:r>
        <w:rPr>
          <w:szCs w:val="22"/>
        </w:rPr>
        <w:t xml:space="preserve">, 2008) and </w:t>
      </w:r>
      <w:r w:rsidR="0029595E">
        <w:rPr>
          <w:szCs w:val="22"/>
        </w:rPr>
        <w:t>to</w:t>
      </w:r>
      <w:r>
        <w:rPr>
          <w:szCs w:val="22"/>
        </w:rPr>
        <w:t xml:space="preserve"> diffuse any power-related issues in research between researcher and participants (</w:t>
      </w:r>
      <w:proofErr w:type="spellStart"/>
      <w:r>
        <w:rPr>
          <w:szCs w:val="22"/>
        </w:rPr>
        <w:t>Mannay</w:t>
      </w:r>
      <w:proofErr w:type="spellEnd"/>
      <w:r>
        <w:rPr>
          <w:szCs w:val="22"/>
        </w:rPr>
        <w:t>, 2010).</w:t>
      </w:r>
    </w:p>
    <w:p w:rsidR="00911A6E" w:rsidRPr="00BB6681" w:rsidRDefault="0029595E" w:rsidP="00911A6E">
      <w:pPr>
        <w:spacing w:after="120"/>
        <w:ind w:firstLine="227"/>
      </w:pPr>
      <w:r>
        <w:rPr>
          <w:szCs w:val="22"/>
        </w:rPr>
        <w:t>Collage</w:t>
      </w:r>
      <w:r w:rsidR="00911A6E">
        <w:rPr>
          <w:szCs w:val="22"/>
        </w:rPr>
        <w:t xml:space="preserve"> </w:t>
      </w:r>
      <w:r w:rsidR="00911A6E" w:rsidRPr="00BB6681">
        <w:rPr>
          <w:szCs w:val="22"/>
        </w:rPr>
        <w:t>effective</w:t>
      </w:r>
      <w:r>
        <w:rPr>
          <w:szCs w:val="22"/>
        </w:rPr>
        <w:t>ly</w:t>
      </w:r>
      <w:r w:rsidR="00911A6E" w:rsidRPr="00BB6681">
        <w:rPr>
          <w:szCs w:val="22"/>
        </w:rPr>
        <w:t xml:space="preserve"> engage</w:t>
      </w:r>
      <w:r>
        <w:rPr>
          <w:szCs w:val="22"/>
        </w:rPr>
        <w:t>s</w:t>
      </w:r>
      <w:r w:rsidR="00911A6E" w:rsidRPr="00BB6681">
        <w:rPr>
          <w:szCs w:val="22"/>
        </w:rPr>
        <w:t xml:space="preserve"> participants and allow</w:t>
      </w:r>
      <w:r>
        <w:rPr>
          <w:szCs w:val="22"/>
        </w:rPr>
        <w:t>s</w:t>
      </w:r>
      <w:r w:rsidR="00911A6E" w:rsidRPr="00BB6681">
        <w:rPr>
          <w:szCs w:val="22"/>
        </w:rPr>
        <w:t xml:space="preserve"> them </w:t>
      </w:r>
      <w:r w:rsidR="00911A6E" w:rsidRPr="00BB6681">
        <w:t>(and researchers)</w:t>
      </w:r>
      <w:r w:rsidR="00911A6E" w:rsidRPr="00BB6681">
        <w:rPr>
          <w:szCs w:val="22"/>
        </w:rPr>
        <w:t xml:space="preserve"> to</w:t>
      </w:r>
      <w:r w:rsidR="00911A6E" w:rsidRPr="00BB6681">
        <w:t xml:space="preserve"> make “new connections” (Butler-</w:t>
      </w:r>
      <w:proofErr w:type="spellStart"/>
      <w:r w:rsidR="00911A6E" w:rsidRPr="00BB6681">
        <w:t>Kisber</w:t>
      </w:r>
      <w:proofErr w:type="spellEnd"/>
      <w:r w:rsidR="00911A6E" w:rsidRPr="00BB6681">
        <w:t>, 2010</w:t>
      </w:r>
      <w:r w:rsidR="00E54500">
        <w:t>,</w:t>
      </w:r>
      <w:r w:rsidR="00911A6E" w:rsidRPr="00BB6681">
        <w:t xml:space="preserve"> </w:t>
      </w:r>
      <w:r w:rsidR="00E54500">
        <w:t>p.</w:t>
      </w:r>
      <w:r w:rsidR="00911A6E" w:rsidRPr="00BB6681">
        <w:t>104) in “li</w:t>
      </w:r>
      <w:r w:rsidR="00911A6E">
        <w:t>minal spaces” (</w:t>
      </w:r>
      <w:proofErr w:type="spellStart"/>
      <w:r w:rsidR="00911A6E">
        <w:t>Neilsen</w:t>
      </w:r>
      <w:proofErr w:type="spellEnd"/>
      <w:r w:rsidR="00911A6E">
        <w:t>, 2002</w:t>
      </w:r>
      <w:r w:rsidR="00E54500">
        <w:t>,</w:t>
      </w:r>
      <w:r w:rsidR="00911A6E">
        <w:t xml:space="preserve"> </w:t>
      </w:r>
      <w:r w:rsidR="00E54500">
        <w:t>p.</w:t>
      </w:r>
      <w:r w:rsidR="00911A6E" w:rsidRPr="00BB6681">
        <w:t>208), such as transition.  C</w:t>
      </w:r>
      <w:r w:rsidR="00911A6E" w:rsidRPr="00BB6681">
        <w:rPr>
          <w:szCs w:val="22"/>
        </w:rPr>
        <w:t>ollage allows each participant to explore phenomen</w:t>
      </w:r>
      <w:r w:rsidR="00911A6E">
        <w:rPr>
          <w:szCs w:val="22"/>
        </w:rPr>
        <w:t>a</w:t>
      </w:r>
      <w:r w:rsidR="00911A6E" w:rsidRPr="00BB6681">
        <w:rPr>
          <w:szCs w:val="22"/>
        </w:rPr>
        <w:t xml:space="preserve"> on their own terms and with their own voice, allowing for “kaleidoscopic representation[s]” and teasing out nuances, interpretations and understandings, which might otherwise not have emerged (Butler-</w:t>
      </w:r>
      <w:proofErr w:type="spellStart"/>
      <w:r w:rsidR="00911A6E" w:rsidRPr="00BB6681">
        <w:rPr>
          <w:szCs w:val="22"/>
        </w:rPr>
        <w:t>Kisber</w:t>
      </w:r>
      <w:proofErr w:type="spellEnd"/>
      <w:r w:rsidR="00911A6E" w:rsidRPr="00BB6681">
        <w:rPr>
          <w:szCs w:val="22"/>
        </w:rPr>
        <w:t>, 2008</w:t>
      </w:r>
      <w:r w:rsidR="009B3E71">
        <w:rPr>
          <w:szCs w:val="22"/>
        </w:rPr>
        <w:t>,</w:t>
      </w:r>
      <w:r w:rsidR="00911A6E" w:rsidRPr="00BB6681">
        <w:rPr>
          <w:szCs w:val="22"/>
        </w:rPr>
        <w:t xml:space="preserve"> </w:t>
      </w:r>
      <w:r w:rsidR="009B3E71">
        <w:rPr>
          <w:szCs w:val="22"/>
        </w:rPr>
        <w:t>p.</w:t>
      </w:r>
      <w:r w:rsidR="00911A6E" w:rsidRPr="00BB6681">
        <w:rPr>
          <w:szCs w:val="22"/>
        </w:rPr>
        <w:t>272).</w:t>
      </w:r>
      <w:r w:rsidR="00911A6E">
        <w:rPr>
          <w:szCs w:val="22"/>
        </w:rPr>
        <w:t xml:space="preserve">  </w:t>
      </w:r>
    </w:p>
    <w:p w:rsidR="00911A6E" w:rsidRPr="00BB6681" w:rsidRDefault="00911A6E" w:rsidP="00911A6E">
      <w:pPr>
        <w:spacing w:after="120"/>
        <w:ind w:firstLine="227"/>
        <w:rPr>
          <w:szCs w:val="22"/>
        </w:rPr>
      </w:pPr>
      <w:r w:rsidRPr="00BB6681">
        <w:rPr>
          <w:szCs w:val="22"/>
        </w:rPr>
        <w:t xml:space="preserve">New understandings and emotions may seep through, revealing a deeper layer of knowledge between the fragments and their creator (Davis, 2008).  This juxtaposition of materials and knowledge—that up until now were disconnected—is key in founding research trustworthiness: “[the] interplay of fragments from multiple sources, </w:t>
      </w:r>
      <w:proofErr w:type="gramStart"/>
      <w:r w:rsidRPr="00BB6681">
        <w:rPr>
          <w:szCs w:val="22"/>
        </w:rPr>
        <w:t>whose</w:t>
      </w:r>
      <w:proofErr w:type="gramEnd"/>
      <w:r w:rsidRPr="00BB6681">
        <w:rPr>
          <w:szCs w:val="22"/>
        </w:rPr>
        <w:t xml:space="preserve"> piecing together creates resonances and connections that form the basis of discussion and learning” (</w:t>
      </w:r>
      <w:r>
        <w:rPr>
          <w:szCs w:val="22"/>
        </w:rPr>
        <w:t>Vaughn, 2005</w:t>
      </w:r>
      <w:r w:rsidR="009B3E71">
        <w:rPr>
          <w:szCs w:val="22"/>
        </w:rPr>
        <w:t>, p.</w:t>
      </w:r>
      <w:r w:rsidRPr="00BB6681">
        <w:rPr>
          <w:szCs w:val="22"/>
        </w:rPr>
        <w:t xml:space="preserve">13).   </w:t>
      </w:r>
    </w:p>
    <w:p w:rsidR="00911A6E" w:rsidRDefault="00911A6E" w:rsidP="00911A6E">
      <w:pPr>
        <w:spacing w:after="120"/>
        <w:ind w:firstLine="227"/>
        <w:rPr>
          <w:szCs w:val="22"/>
        </w:rPr>
      </w:pPr>
      <w:r w:rsidRPr="00BB6681">
        <w:rPr>
          <w:szCs w:val="22"/>
        </w:rPr>
        <w:t xml:space="preserve">Collage </w:t>
      </w:r>
      <w:r>
        <w:rPr>
          <w:szCs w:val="22"/>
        </w:rPr>
        <w:t>is typically employed for three types of inquiry: reflection, elicitation and conceptualisation</w:t>
      </w:r>
      <w:r w:rsidR="00D35AF8">
        <w:rPr>
          <w:szCs w:val="22"/>
        </w:rPr>
        <w:t xml:space="preserve"> (Butler-</w:t>
      </w:r>
      <w:proofErr w:type="spellStart"/>
      <w:r w:rsidR="00D35AF8">
        <w:rPr>
          <w:szCs w:val="22"/>
        </w:rPr>
        <w:t>Kisber</w:t>
      </w:r>
      <w:proofErr w:type="spellEnd"/>
      <w:r w:rsidR="00D35AF8">
        <w:rPr>
          <w:szCs w:val="22"/>
        </w:rPr>
        <w:t xml:space="preserve"> and </w:t>
      </w:r>
      <w:proofErr w:type="spellStart"/>
      <w:r w:rsidR="00D35AF8">
        <w:rPr>
          <w:szCs w:val="22"/>
        </w:rPr>
        <w:t>Poldma</w:t>
      </w:r>
      <w:proofErr w:type="spellEnd"/>
      <w:r w:rsidR="00D35AF8">
        <w:rPr>
          <w:szCs w:val="22"/>
        </w:rPr>
        <w:t>, 2009)</w:t>
      </w:r>
      <w:r>
        <w:rPr>
          <w:szCs w:val="22"/>
        </w:rPr>
        <w:t>.  Collage as reflection is part of the researcher’s reflexivity toolbox and encourages interpretive insights on the research process.  Collage as conceptualisation involves targeting and representing a phenomenon within a composition.  The myriad of possible outputs triggers “kaleidoscopic representations”, including nuances, interpretations and understandings that may have otherwise remained hidden (Butler-</w:t>
      </w:r>
      <w:proofErr w:type="spellStart"/>
      <w:r>
        <w:rPr>
          <w:szCs w:val="22"/>
        </w:rPr>
        <w:t>Kisber</w:t>
      </w:r>
      <w:proofErr w:type="spellEnd"/>
      <w:r>
        <w:rPr>
          <w:szCs w:val="22"/>
        </w:rPr>
        <w:t xml:space="preserve">, 2008, p.272).  Collage as elicitation provides a more explicit blueprint for </w:t>
      </w:r>
      <w:r w:rsidRPr="00BB6681">
        <w:rPr>
          <w:szCs w:val="22"/>
        </w:rPr>
        <w:t>teas</w:t>
      </w:r>
      <w:r>
        <w:rPr>
          <w:szCs w:val="22"/>
        </w:rPr>
        <w:t>ing</w:t>
      </w:r>
      <w:r w:rsidRPr="00BB6681">
        <w:rPr>
          <w:szCs w:val="22"/>
        </w:rPr>
        <w:t xml:space="preserve"> out rich data from participants in group discussions (Diaz, 2002</w:t>
      </w:r>
      <w:r>
        <w:rPr>
          <w:szCs w:val="22"/>
        </w:rPr>
        <w:t>, Butler-</w:t>
      </w:r>
      <w:proofErr w:type="spellStart"/>
      <w:r>
        <w:rPr>
          <w:szCs w:val="22"/>
        </w:rPr>
        <w:t>Kisber</w:t>
      </w:r>
      <w:proofErr w:type="spellEnd"/>
      <w:r>
        <w:rPr>
          <w:szCs w:val="22"/>
        </w:rPr>
        <w:t xml:space="preserve"> and </w:t>
      </w:r>
      <w:proofErr w:type="spellStart"/>
      <w:r>
        <w:rPr>
          <w:szCs w:val="22"/>
        </w:rPr>
        <w:t>Poldma</w:t>
      </w:r>
      <w:proofErr w:type="spellEnd"/>
      <w:r>
        <w:rPr>
          <w:szCs w:val="22"/>
        </w:rPr>
        <w:t>, 2009 and</w:t>
      </w:r>
      <w:r w:rsidRPr="00BB6681">
        <w:rPr>
          <w:szCs w:val="22"/>
        </w:rPr>
        <w:t xml:space="preserve"> </w:t>
      </w:r>
      <w:proofErr w:type="spellStart"/>
      <w:r w:rsidRPr="00BB6681">
        <w:rPr>
          <w:szCs w:val="22"/>
        </w:rPr>
        <w:t>Gerstenblatt</w:t>
      </w:r>
      <w:proofErr w:type="spellEnd"/>
      <w:r w:rsidRPr="00BB6681">
        <w:rPr>
          <w:szCs w:val="22"/>
        </w:rPr>
        <w:t>, 2013).</w:t>
      </w:r>
    </w:p>
    <w:p w:rsidR="00911A6E" w:rsidRDefault="00911A6E" w:rsidP="00911A6E">
      <w:pPr>
        <w:spacing w:after="120"/>
        <w:ind w:firstLine="227"/>
        <w:rPr>
          <w:szCs w:val="22"/>
        </w:rPr>
      </w:pPr>
      <w:r>
        <w:rPr>
          <w:szCs w:val="22"/>
        </w:rPr>
        <w:t xml:space="preserve">This study proposes </w:t>
      </w:r>
      <w:r w:rsidR="00D35AF8">
        <w:rPr>
          <w:szCs w:val="22"/>
        </w:rPr>
        <w:t>using Butler-</w:t>
      </w:r>
      <w:proofErr w:type="spellStart"/>
      <w:r w:rsidR="00D35AF8">
        <w:rPr>
          <w:szCs w:val="22"/>
        </w:rPr>
        <w:t>Kisber</w:t>
      </w:r>
      <w:proofErr w:type="spellEnd"/>
      <w:r w:rsidR="00D35AF8">
        <w:rPr>
          <w:szCs w:val="22"/>
        </w:rPr>
        <w:t xml:space="preserve"> and </w:t>
      </w:r>
      <w:proofErr w:type="spellStart"/>
      <w:r w:rsidR="00D35AF8">
        <w:rPr>
          <w:szCs w:val="22"/>
        </w:rPr>
        <w:t>Poldma’s</w:t>
      </w:r>
      <w:proofErr w:type="spellEnd"/>
      <w:r w:rsidR="00D35AF8">
        <w:rPr>
          <w:szCs w:val="22"/>
        </w:rPr>
        <w:t xml:space="preserve"> (2009) definitions of collage inquiry and blending</w:t>
      </w:r>
      <w:r>
        <w:rPr>
          <w:szCs w:val="22"/>
        </w:rPr>
        <w:t xml:space="preserve"> conceptualisation and elicitation</w:t>
      </w:r>
      <w:r w:rsidR="00D35AF8">
        <w:rPr>
          <w:szCs w:val="22"/>
        </w:rPr>
        <w:t xml:space="preserve"> into one methodology</w:t>
      </w:r>
      <w:r>
        <w:rPr>
          <w:szCs w:val="22"/>
        </w:rPr>
        <w:t xml:space="preserve">: the former to encourage participants to tap into their transitional experiences during their first year at </w:t>
      </w:r>
      <w:proofErr w:type="spellStart"/>
      <w:r w:rsidR="009B3E71">
        <w:rPr>
          <w:szCs w:val="22"/>
        </w:rPr>
        <w:t>Southeastern</w:t>
      </w:r>
      <w:proofErr w:type="spellEnd"/>
      <w:r>
        <w:rPr>
          <w:szCs w:val="22"/>
        </w:rPr>
        <w:t xml:space="preserve"> and the </w:t>
      </w:r>
      <w:r w:rsidR="00E54500">
        <w:rPr>
          <w:szCs w:val="22"/>
        </w:rPr>
        <w:t>latter</w:t>
      </w:r>
      <w:r>
        <w:rPr>
          <w:szCs w:val="22"/>
        </w:rPr>
        <w:t xml:space="preserve"> to generate participant-led interpretations and discussions aimed at deepening our understanding of how WP students experience transition into </w:t>
      </w:r>
      <w:proofErr w:type="gramStart"/>
      <w:r>
        <w:rPr>
          <w:szCs w:val="22"/>
        </w:rPr>
        <w:t>HE</w:t>
      </w:r>
      <w:proofErr w:type="gramEnd"/>
      <w:r>
        <w:rPr>
          <w:szCs w:val="22"/>
        </w:rPr>
        <w:t xml:space="preserve">.  </w:t>
      </w:r>
      <w:proofErr w:type="spellStart"/>
      <w:r w:rsidRPr="00BB6681">
        <w:rPr>
          <w:szCs w:val="22"/>
        </w:rPr>
        <w:t>McNiff</w:t>
      </w:r>
      <w:proofErr w:type="spellEnd"/>
      <w:r w:rsidRPr="00BB6681">
        <w:rPr>
          <w:szCs w:val="22"/>
        </w:rPr>
        <w:t xml:space="preserve"> (2008) also states </w:t>
      </w:r>
      <w:r w:rsidRPr="00BB6681">
        <w:rPr>
          <w:szCs w:val="20"/>
        </w:rPr>
        <w:t>that working with a group sparks a “slipstream of group expression [that] can carry us to places where</w:t>
      </w:r>
      <w:r>
        <w:rPr>
          <w:szCs w:val="20"/>
        </w:rPr>
        <w:t xml:space="preserve"> we cannot go alone” (</w:t>
      </w:r>
      <w:r w:rsidR="009B3E71">
        <w:rPr>
          <w:szCs w:val="20"/>
        </w:rPr>
        <w:t>p.</w:t>
      </w:r>
      <w:r w:rsidRPr="00BB6681">
        <w:rPr>
          <w:szCs w:val="20"/>
        </w:rPr>
        <w:t xml:space="preserve">32).  </w:t>
      </w:r>
      <w:r>
        <w:rPr>
          <w:szCs w:val="20"/>
        </w:rPr>
        <w:t>U</w:t>
      </w:r>
      <w:r w:rsidRPr="00BB6681">
        <w:rPr>
          <w:szCs w:val="20"/>
        </w:rPr>
        <w:t xml:space="preserve">sing collage as </w:t>
      </w:r>
      <w:r>
        <w:rPr>
          <w:szCs w:val="20"/>
        </w:rPr>
        <w:t>conceptualisation and elicitation tools might spark those kaleidoscopic representations, while acting as</w:t>
      </w:r>
      <w:r w:rsidRPr="00BB6681">
        <w:rPr>
          <w:szCs w:val="22"/>
        </w:rPr>
        <w:t xml:space="preserve"> a springboard to rich discussions about transitional experiences.</w:t>
      </w:r>
    </w:p>
    <w:p w:rsidR="00911A6E" w:rsidRDefault="00911A6E" w:rsidP="00911A6E">
      <w:pPr>
        <w:spacing w:after="120"/>
        <w:ind w:firstLine="227"/>
      </w:pPr>
      <w:r w:rsidRPr="00BB6681">
        <w:rPr>
          <w:szCs w:val="22"/>
        </w:rPr>
        <w:tab/>
        <w:t xml:space="preserve">This introduction to </w:t>
      </w:r>
      <w:r>
        <w:rPr>
          <w:szCs w:val="22"/>
        </w:rPr>
        <w:t>artful inquiry and</w:t>
      </w:r>
      <w:r w:rsidRPr="00BB6681">
        <w:rPr>
          <w:szCs w:val="22"/>
        </w:rPr>
        <w:t xml:space="preserve"> collage</w:t>
      </w:r>
      <w:r w:rsidR="00926919">
        <w:rPr>
          <w:szCs w:val="22"/>
        </w:rPr>
        <w:t xml:space="preserve"> </w:t>
      </w:r>
      <w:r w:rsidRPr="00BB6681">
        <w:rPr>
          <w:szCs w:val="22"/>
        </w:rPr>
        <w:t>hopefully draw</w:t>
      </w:r>
      <w:r>
        <w:rPr>
          <w:szCs w:val="22"/>
        </w:rPr>
        <w:t>s</w:t>
      </w:r>
      <w:r w:rsidRPr="00BB6681">
        <w:rPr>
          <w:szCs w:val="22"/>
        </w:rPr>
        <w:t xml:space="preserve"> attention to the</w:t>
      </w:r>
      <w:r>
        <w:rPr>
          <w:szCs w:val="22"/>
        </w:rPr>
        <w:t xml:space="preserve">ir worth as a </w:t>
      </w:r>
      <w:r w:rsidR="009B3E71">
        <w:rPr>
          <w:szCs w:val="22"/>
        </w:rPr>
        <w:t>methodology</w:t>
      </w:r>
      <w:r>
        <w:rPr>
          <w:szCs w:val="22"/>
        </w:rPr>
        <w:t xml:space="preserve"> capable of </w:t>
      </w:r>
      <w:r w:rsidRPr="00BB6681">
        <w:rPr>
          <w:szCs w:val="22"/>
        </w:rPr>
        <w:t>explor</w:t>
      </w:r>
      <w:r>
        <w:rPr>
          <w:szCs w:val="22"/>
        </w:rPr>
        <w:t>ing</w:t>
      </w:r>
      <w:r w:rsidRPr="00BB6681">
        <w:rPr>
          <w:szCs w:val="22"/>
        </w:rPr>
        <w:t xml:space="preserve"> transition</w:t>
      </w:r>
      <w:r>
        <w:rPr>
          <w:szCs w:val="22"/>
        </w:rPr>
        <w:t>al experiences</w:t>
      </w:r>
      <w:r w:rsidRPr="00BB6681">
        <w:rPr>
          <w:szCs w:val="22"/>
        </w:rPr>
        <w:t xml:space="preserve"> into </w:t>
      </w:r>
      <w:proofErr w:type="gramStart"/>
      <w:r w:rsidRPr="00BB6681">
        <w:rPr>
          <w:szCs w:val="22"/>
        </w:rPr>
        <w:t>HE</w:t>
      </w:r>
      <w:proofErr w:type="gramEnd"/>
      <w:r w:rsidRPr="00BB6681">
        <w:rPr>
          <w:szCs w:val="22"/>
        </w:rPr>
        <w:t xml:space="preserve">.  </w:t>
      </w:r>
      <w:r>
        <w:rPr>
          <w:szCs w:val="22"/>
        </w:rPr>
        <w:t>Following some personal methodological reflections</w:t>
      </w:r>
      <w:r w:rsidR="009B3E71">
        <w:rPr>
          <w:szCs w:val="22"/>
        </w:rPr>
        <w:t>,</w:t>
      </w:r>
      <w:r>
        <w:rPr>
          <w:szCs w:val="22"/>
        </w:rPr>
        <w:t xml:space="preserve"> is an overview of the </w:t>
      </w:r>
      <w:r w:rsidRPr="00BB6681">
        <w:rPr>
          <w:szCs w:val="22"/>
        </w:rPr>
        <w:t xml:space="preserve">research process, </w:t>
      </w:r>
      <w:r w:rsidR="009B3E71">
        <w:rPr>
          <w:szCs w:val="22"/>
        </w:rPr>
        <w:t xml:space="preserve">including how </w:t>
      </w:r>
      <w:r w:rsidRPr="00BB6681">
        <w:rPr>
          <w:szCs w:val="22"/>
        </w:rPr>
        <w:t>collage</w:t>
      </w:r>
      <w:r>
        <w:rPr>
          <w:szCs w:val="22"/>
        </w:rPr>
        <w:t xml:space="preserve"> </w:t>
      </w:r>
      <w:r w:rsidR="009B3E71">
        <w:rPr>
          <w:szCs w:val="22"/>
        </w:rPr>
        <w:t xml:space="preserve">was implemented </w:t>
      </w:r>
      <w:r>
        <w:rPr>
          <w:szCs w:val="22"/>
        </w:rPr>
        <w:t>as an elicitation tool</w:t>
      </w:r>
      <w:r w:rsidRPr="00BB6681">
        <w:rPr>
          <w:szCs w:val="22"/>
        </w:rPr>
        <w:t xml:space="preserve">, </w:t>
      </w:r>
      <w:r>
        <w:rPr>
          <w:szCs w:val="22"/>
        </w:rPr>
        <w:t xml:space="preserve">and </w:t>
      </w:r>
      <w:r w:rsidR="009B3E71">
        <w:rPr>
          <w:szCs w:val="22"/>
        </w:rPr>
        <w:t xml:space="preserve">a </w:t>
      </w:r>
      <w:r>
        <w:rPr>
          <w:szCs w:val="22"/>
        </w:rPr>
        <w:t>discussion on</w:t>
      </w:r>
      <w:r w:rsidRPr="00BB6681">
        <w:rPr>
          <w:szCs w:val="22"/>
        </w:rPr>
        <w:t xml:space="preserve"> </w:t>
      </w:r>
      <w:r>
        <w:rPr>
          <w:szCs w:val="22"/>
        </w:rPr>
        <w:t xml:space="preserve">data </w:t>
      </w:r>
      <w:r w:rsidRPr="00BB6681">
        <w:rPr>
          <w:szCs w:val="22"/>
        </w:rPr>
        <w:t>analys</w:t>
      </w:r>
      <w:r>
        <w:rPr>
          <w:szCs w:val="22"/>
        </w:rPr>
        <w:t>is</w:t>
      </w:r>
      <w:r w:rsidRPr="00BB6681">
        <w:rPr>
          <w:szCs w:val="22"/>
        </w:rPr>
        <w:t xml:space="preserve"> and sampl</w:t>
      </w:r>
      <w:r>
        <w:rPr>
          <w:szCs w:val="22"/>
        </w:rPr>
        <w:t>ing</w:t>
      </w:r>
      <w:r w:rsidRPr="00BB6681">
        <w:rPr>
          <w:szCs w:val="22"/>
        </w:rPr>
        <w:t>.</w:t>
      </w:r>
    </w:p>
    <w:p w:rsidR="00911A6E" w:rsidRDefault="00911A6E" w:rsidP="00911A6E">
      <w:pPr>
        <w:pStyle w:val="Heading2"/>
      </w:pPr>
      <w:r>
        <w:t>Reflections on artful inquiry</w:t>
      </w:r>
    </w:p>
    <w:p w:rsidR="00911A6E" w:rsidRDefault="00D35AF8" w:rsidP="00911A6E">
      <w:pPr>
        <w:spacing w:after="120"/>
        <w:ind w:firstLine="227"/>
        <w:rPr>
          <w:szCs w:val="22"/>
        </w:rPr>
      </w:pPr>
      <w:r>
        <w:rPr>
          <w:szCs w:val="22"/>
        </w:rPr>
        <w:t>Experientially</w:t>
      </w:r>
      <w:r w:rsidR="00911A6E" w:rsidRPr="00BB6681">
        <w:rPr>
          <w:szCs w:val="22"/>
        </w:rPr>
        <w:t xml:space="preserve">, transition into HE, is not limited to just one </w:t>
      </w:r>
      <w:r w:rsidR="00911A6E">
        <w:rPr>
          <w:szCs w:val="22"/>
        </w:rPr>
        <w:t xml:space="preserve">predefined </w:t>
      </w:r>
      <w:r w:rsidR="00911A6E" w:rsidRPr="00BB6681">
        <w:rPr>
          <w:szCs w:val="22"/>
        </w:rPr>
        <w:t>outcome,</w:t>
      </w:r>
      <w:r w:rsidR="00911A6E">
        <w:rPr>
          <w:szCs w:val="22"/>
        </w:rPr>
        <w:t xml:space="preserve"> but is an individual </w:t>
      </w:r>
      <w:r w:rsidR="00911A6E" w:rsidRPr="00BB6681">
        <w:rPr>
          <w:szCs w:val="22"/>
        </w:rPr>
        <w:t xml:space="preserve">experience </w:t>
      </w:r>
      <w:r w:rsidR="009B3E71">
        <w:rPr>
          <w:szCs w:val="22"/>
        </w:rPr>
        <w:t xml:space="preserve">resulting in many possible conclusions </w:t>
      </w:r>
      <w:r w:rsidR="00911A6E" w:rsidRPr="00BB6681">
        <w:rPr>
          <w:szCs w:val="22"/>
        </w:rPr>
        <w:t xml:space="preserve">(Gale and Parker, 2014).  There are many ways to capture these transitional experiences.  For instance, </w:t>
      </w:r>
      <w:r w:rsidR="00911A6E" w:rsidRPr="00BB6681">
        <w:rPr>
          <w:szCs w:val="22"/>
        </w:rPr>
        <w:lastRenderedPageBreak/>
        <w:t>using traditional qualitative tools, such as interviews and focus</w:t>
      </w:r>
      <w:r w:rsidR="00911A6E">
        <w:rPr>
          <w:szCs w:val="22"/>
        </w:rPr>
        <w:t xml:space="preserve"> groups has been a preferred method in </w:t>
      </w:r>
      <w:r w:rsidR="009B3E71">
        <w:rPr>
          <w:szCs w:val="22"/>
        </w:rPr>
        <w:t>WP research, having</w:t>
      </w:r>
      <w:r w:rsidR="00911A6E">
        <w:rPr>
          <w:szCs w:val="22"/>
        </w:rPr>
        <w:t xml:space="preserve"> been deployed in studies dealing with capitals (Reay et al., 2009), transition (Leese, 2010; Quinn, 2010; O’Shea, 2014; Christie et al., 2016), retention (Thomas, 2002 and Roberts, 2011) and in my own non-doctoral WP research (</w:t>
      </w:r>
      <w:proofErr w:type="spellStart"/>
      <w:r w:rsidR="00911A6E">
        <w:rPr>
          <w:szCs w:val="22"/>
        </w:rPr>
        <w:t>Farenga</w:t>
      </w:r>
      <w:proofErr w:type="spellEnd"/>
      <w:r w:rsidR="00911A6E">
        <w:rPr>
          <w:szCs w:val="22"/>
        </w:rPr>
        <w:t xml:space="preserve"> et al., 2016).</w:t>
      </w:r>
    </w:p>
    <w:p w:rsidR="00911A6E" w:rsidRPr="00EA62C2" w:rsidRDefault="00911A6E" w:rsidP="00911A6E">
      <w:pPr>
        <w:spacing w:after="120"/>
        <w:ind w:firstLine="227"/>
        <w:rPr>
          <w:szCs w:val="22"/>
        </w:rPr>
      </w:pPr>
      <w:r>
        <w:rPr>
          <w:szCs w:val="22"/>
        </w:rPr>
        <w:t>With an eye both on contributing to the field of WP and HE transition with truly new knowledge, and challenging myself to tackle a new approach, I undertook my doctorate with an</w:t>
      </w:r>
      <w:r w:rsidR="009B3E71">
        <w:rPr>
          <w:szCs w:val="22"/>
        </w:rPr>
        <w:t xml:space="preserve"> open-mind methodologically.  Attending an</w:t>
      </w:r>
      <w:r>
        <w:rPr>
          <w:szCs w:val="22"/>
        </w:rPr>
        <w:t xml:space="preserve"> exciting and ins</w:t>
      </w:r>
      <w:r w:rsidR="004621B4">
        <w:rPr>
          <w:szCs w:val="22"/>
        </w:rPr>
        <w:t>ightful visual methods workshop</w:t>
      </w:r>
      <w:r>
        <w:rPr>
          <w:szCs w:val="22"/>
        </w:rPr>
        <w:t xml:space="preserve">, in which doctoral students created </w:t>
      </w:r>
      <w:r w:rsidR="009B3E71">
        <w:rPr>
          <w:szCs w:val="22"/>
        </w:rPr>
        <w:t xml:space="preserve">reflexive </w:t>
      </w:r>
      <w:r>
        <w:rPr>
          <w:szCs w:val="22"/>
        </w:rPr>
        <w:t xml:space="preserve">collages to represent their research projects, led me to explore whether collage could uncover transitional experiences of WP students.  The lack of artful inquiry in WP and HE research signalled to me that this method could help form an original contribution to the field.  </w:t>
      </w:r>
    </w:p>
    <w:p w:rsidR="00911A6E" w:rsidRDefault="00911A6E" w:rsidP="00911A6E">
      <w:pPr>
        <w:pStyle w:val="Heading2"/>
      </w:pPr>
      <w:r>
        <w:t>Case study design</w:t>
      </w:r>
    </w:p>
    <w:p w:rsidR="00911A6E" w:rsidRDefault="00911A6E" w:rsidP="00911A6E">
      <w:pPr>
        <w:spacing w:after="120"/>
        <w:ind w:firstLine="227"/>
      </w:pPr>
      <w:r w:rsidRPr="00BB6681">
        <w:t xml:space="preserve">At its core, this research is a case study—after all </w:t>
      </w:r>
      <w:r w:rsidR="00D20A6A">
        <w:t>it</w:t>
      </w:r>
      <w:r w:rsidRPr="00BB6681">
        <w:t xml:space="preserve"> is concerned with exploring </w:t>
      </w:r>
      <w:r w:rsidR="00D20A6A">
        <w:t xml:space="preserve">the </w:t>
      </w:r>
      <w:r w:rsidRPr="00BB6681">
        <w:t xml:space="preserve">transition of a select group of students at just one institution, </w:t>
      </w:r>
      <w:proofErr w:type="spellStart"/>
      <w:r w:rsidR="00D20A6A">
        <w:t>Southeastern</w:t>
      </w:r>
      <w:proofErr w:type="spellEnd"/>
      <w:r w:rsidR="00D20A6A">
        <w:t>, a post-1992 university with over 20,000 students</w:t>
      </w:r>
      <w:r w:rsidRPr="00BB6681">
        <w:t xml:space="preserve">.  </w:t>
      </w:r>
      <w:r w:rsidR="00452D9A">
        <w:t xml:space="preserve">A case study approach seems appropriate given the research explores a contemporary phenomenon (students experience of HE transition at </w:t>
      </w:r>
      <w:proofErr w:type="spellStart"/>
      <w:r w:rsidR="00452D9A">
        <w:t>Southeastern</w:t>
      </w:r>
      <w:proofErr w:type="spellEnd"/>
      <w:r w:rsidR="00452D9A">
        <w:t>) that is outside my influence as a researcher (Yin, 2009).  Although by no means the only useful approach, Yin states that when “</w:t>
      </w:r>
      <w:r w:rsidR="00452D9A" w:rsidRPr="00081991">
        <w:t>the bounda</w:t>
      </w:r>
      <w:r w:rsidR="00452D9A">
        <w:t>ries between phenomenon [events]</w:t>
      </w:r>
      <w:r w:rsidR="00452D9A" w:rsidRPr="00081991">
        <w:t xml:space="preserve"> and context are not </w:t>
      </w:r>
      <w:proofErr w:type="gramStart"/>
      <w:r w:rsidR="00452D9A" w:rsidRPr="00081991">
        <w:t>clearly evident</w:t>
      </w:r>
      <w:proofErr w:type="gramEnd"/>
      <w:r w:rsidR="00452D9A" w:rsidRPr="00081991">
        <w:t>”</w:t>
      </w:r>
      <w:r w:rsidR="00452D9A">
        <w:t xml:space="preserve"> (p.13), a case study might enlighten our understanding.  </w:t>
      </w:r>
      <w:r w:rsidRPr="00BB6681">
        <w:t xml:space="preserve">This next section will touch on key elements of case study design, including sampling, data collection, ethics and data analysis.  </w:t>
      </w:r>
    </w:p>
    <w:p w:rsidR="00911A6E" w:rsidRDefault="00911A6E" w:rsidP="00911A6E"/>
    <w:p w:rsidR="00911A6E" w:rsidRDefault="00911A6E" w:rsidP="00911A6E">
      <w:r>
        <w:rPr>
          <w:i/>
        </w:rPr>
        <w:t>Sampling</w:t>
      </w:r>
    </w:p>
    <w:p w:rsidR="00911A6E" w:rsidRDefault="00911A6E" w:rsidP="00911A6E"/>
    <w:p w:rsidR="00911A6E" w:rsidRPr="00BB6681" w:rsidRDefault="00911A6E" w:rsidP="00911A6E">
      <w:pPr>
        <w:spacing w:after="120"/>
        <w:ind w:firstLine="227"/>
      </w:pPr>
      <w:r w:rsidRPr="00BB6681">
        <w:t>Yin (2009) would define this study as a single, embedded case study model, with multiple cases (students) contained within one main case (</w:t>
      </w:r>
      <w:proofErr w:type="spellStart"/>
      <w:r w:rsidR="00D20A6A">
        <w:t>Southeastern</w:t>
      </w:r>
      <w:proofErr w:type="spellEnd"/>
      <w:r w:rsidRPr="00BB6681">
        <w:t xml:space="preserve">).  The use of purposive sampling </w:t>
      </w:r>
      <w:r w:rsidR="00D20A6A">
        <w:t xml:space="preserve">(Flick, 2014 and Punch, 2014) </w:t>
      </w:r>
      <w:r w:rsidRPr="00BB6681">
        <w:t>helps select critical cases that will "yield the most information and have the greatest impact on the development of knowledge"</w:t>
      </w:r>
      <w:r>
        <w:t xml:space="preserve"> (Patton, 2002</w:t>
      </w:r>
      <w:r w:rsidR="009B3E71">
        <w:t>,</w:t>
      </w:r>
      <w:r>
        <w:t xml:space="preserve"> </w:t>
      </w:r>
      <w:r w:rsidR="009B3E71">
        <w:t>p.</w:t>
      </w:r>
      <w:r w:rsidRPr="00BB6681">
        <w:t xml:space="preserve">236).  By training our gaze on a small group of WP students from </w:t>
      </w:r>
      <w:proofErr w:type="spellStart"/>
      <w:r w:rsidR="00D20A6A">
        <w:t>Southeastern</w:t>
      </w:r>
      <w:proofErr w:type="spellEnd"/>
      <w:r w:rsidRPr="00BB6681">
        <w:t>, such an approach allows for findings, conclusions and recommendations to be localised, while also potentially applicable to other institutions.  This is what Shenton (2004) qualifies as transferability, rather than generalisability, and it is an important aspect of rendering qualitative research ‘trustworthy’, much as Lincoln and Guba (1985) suggest we strive for.</w:t>
      </w:r>
    </w:p>
    <w:p w:rsidR="00911A6E" w:rsidRDefault="00911A6E" w:rsidP="00911A6E">
      <w:pPr>
        <w:spacing w:after="120"/>
        <w:ind w:firstLine="227"/>
      </w:pPr>
      <w:r w:rsidRPr="00BB6681">
        <w:t xml:space="preserve">In all, 10 students took part in the research.  They were drawn from a wider pool of 368 students (via a call-to-action email), who meet </w:t>
      </w:r>
      <w:proofErr w:type="spellStart"/>
      <w:r w:rsidR="00D20A6A">
        <w:t>Southeastern’s</w:t>
      </w:r>
      <w:proofErr w:type="spellEnd"/>
      <w:r w:rsidRPr="00BB6681">
        <w:t xml:space="preserve"> criteria for being considered WP students</w:t>
      </w:r>
      <w:r w:rsidR="009B3E71">
        <w:t xml:space="preserve"> (family income below £25,000 and </w:t>
      </w:r>
      <w:r w:rsidR="003942E1">
        <w:t>localities with</w:t>
      </w:r>
      <w:r w:rsidR="009B3E71">
        <w:t xml:space="preserve"> the lowest progression to HE</w:t>
      </w:r>
      <w:r w:rsidR="003942E1">
        <w:t xml:space="preserve"> rates)</w:t>
      </w:r>
      <w:r w:rsidRPr="00BB6681">
        <w:t>.  Figure 1 lists the participants and includes their self-selected pseudonym, gender and the academic school they belong to.</w:t>
      </w:r>
    </w:p>
    <w:p w:rsidR="00911A6E" w:rsidRPr="00BB6681" w:rsidRDefault="00911A6E" w:rsidP="00911A6E">
      <w:pPr>
        <w:spacing w:after="120"/>
        <w:ind w:firstLine="227"/>
      </w:pPr>
    </w:p>
    <w:p w:rsidR="00A06E36" w:rsidRPr="002C5107" w:rsidRDefault="00A06E36" w:rsidP="00A06E36"/>
    <w:tbl>
      <w:tblPr>
        <w:tblW w:w="576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0"/>
        <w:gridCol w:w="1100"/>
        <w:gridCol w:w="2660"/>
      </w:tblGrid>
      <w:tr w:rsidR="00A06E36" w:rsidRPr="002C5107" w:rsidTr="00C73E97">
        <w:trPr>
          <w:trHeight w:val="300"/>
        </w:trPr>
        <w:tc>
          <w:tcPr>
            <w:tcW w:w="2000" w:type="dxa"/>
            <w:shd w:val="clear" w:color="auto" w:fill="auto"/>
            <w:noWrap/>
            <w:vAlign w:val="bottom"/>
          </w:tcPr>
          <w:p w:rsidR="00A06E36" w:rsidRPr="002C5107" w:rsidRDefault="00A06E36" w:rsidP="00C73E97">
            <w:pPr>
              <w:rPr>
                <w:b/>
                <w:color w:val="000000"/>
              </w:rPr>
            </w:pPr>
            <w:r w:rsidRPr="002C5107">
              <w:rPr>
                <w:b/>
                <w:color w:val="000000"/>
              </w:rPr>
              <w:lastRenderedPageBreak/>
              <w:t>Pseudonym</w:t>
            </w:r>
          </w:p>
        </w:tc>
        <w:tc>
          <w:tcPr>
            <w:tcW w:w="1100" w:type="dxa"/>
            <w:shd w:val="clear" w:color="auto" w:fill="auto"/>
            <w:noWrap/>
            <w:vAlign w:val="bottom"/>
          </w:tcPr>
          <w:p w:rsidR="00A06E36" w:rsidRPr="002C5107" w:rsidRDefault="00A06E36" w:rsidP="00C73E97">
            <w:pPr>
              <w:jc w:val="center"/>
              <w:rPr>
                <w:b/>
                <w:color w:val="000000"/>
              </w:rPr>
            </w:pPr>
            <w:r w:rsidRPr="002C5107">
              <w:rPr>
                <w:b/>
                <w:color w:val="000000"/>
              </w:rPr>
              <w:t>Gender</w:t>
            </w:r>
          </w:p>
        </w:tc>
        <w:tc>
          <w:tcPr>
            <w:tcW w:w="2660" w:type="dxa"/>
            <w:shd w:val="clear" w:color="auto" w:fill="auto"/>
            <w:noWrap/>
            <w:vAlign w:val="bottom"/>
          </w:tcPr>
          <w:p w:rsidR="00A06E36" w:rsidRPr="002C5107" w:rsidRDefault="00A06E36" w:rsidP="00C73E97">
            <w:pPr>
              <w:rPr>
                <w:b/>
                <w:color w:val="000000"/>
              </w:rPr>
            </w:pPr>
            <w:r w:rsidRPr="002C5107">
              <w:rPr>
                <w:b/>
                <w:color w:val="000000"/>
              </w:rPr>
              <w:t>Academic School</w:t>
            </w:r>
          </w:p>
        </w:tc>
      </w:tr>
      <w:tr w:rsidR="00A06E36" w:rsidRPr="002C5107" w:rsidTr="00C73E97">
        <w:trPr>
          <w:trHeight w:val="300"/>
        </w:trPr>
        <w:tc>
          <w:tcPr>
            <w:tcW w:w="2000" w:type="dxa"/>
            <w:shd w:val="clear" w:color="auto" w:fill="auto"/>
            <w:noWrap/>
            <w:vAlign w:val="bottom"/>
          </w:tcPr>
          <w:p w:rsidR="00A06E36" w:rsidRPr="002C5107" w:rsidRDefault="00A06E36" w:rsidP="00C73E97">
            <w:pPr>
              <w:spacing w:before="2" w:after="2"/>
              <w:rPr>
                <w:color w:val="000000"/>
              </w:rPr>
            </w:pPr>
            <w:r w:rsidRPr="002C5107">
              <w:rPr>
                <w:color w:val="000000"/>
              </w:rPr>
              <w:t>Steven</w:t>
            </w:r>
          </w:p>
        </w:tc>
        <w:tc>
          <w:tcPr>
            <w:tcW w:w="1100" w:type="dxa"/>
            <w:shd w:val="clear" w:color="auto" w:fill="auto"/>
            <w:noWrap/>
            <w:vAlign w:val="bottom"/>
          </w:tcPr>
          <w:p w:rsidR="00A06E36" w:rsidRPr="002C5107" w:rsidRDefault="00A06E36" w:rsidP="00C73E97">
            <w:pPr>
              <w:spacing w:before="2" w:after="2"/>
              <w:jc w:val="center"/>
              <w:rPr>
                <w:color w:val="000000"/>
              </w:rPr>
            </w:pPr>
            <w:r w:rsidRPr="002C5107">
              <w:rPr>
                <w:color w:val="000000"/>
              </w:rPr>
              <w:t>M</w:t>
            </w:r>
          </w:p>
        </w:tc>
        <w:tc>
          <w:tcPr>
            <w:tcW w:w="2660" w:type="dxa"/>
            <w:shd w:val="clear" w:color="auto" w:fill="auto"/>
            <w:noWrap/>
            <w:vAlign w:val="bottom"/>
          </w:tcPr>
          <w:p w:rsidR="00A06E36" w:rsidRPr="002C5107" w:rsidRDefault="00A06E36" w:rsidP="00C73E97">
            <w:pPr>
              <w:spacing w:before="2" w:after="2"/>
              <w:rPr>
                <w:color w:val="000000"/>
              </w:rPr>
            </w:pPr>
            <w:r w:rsidRPr="002C5107">
              <w:rPr>
                <w:color w:val="000000"/>
              </w:rPr>
              <w:t>Creative Arts</w:t>
            </w:r>
          </w:p>
        </w:tc>
      </w:tr>
      <w:tr w:rsidR="00A06E36" w:rsidRPr="002C5107" w:rsidTr="00C73E97">
        <w:trPr>
          <w:trHeight w:val="300"/>
        </w:trPr>
        <w:tc>
          <w:tcPr>
            <w:tcW w:w="2000" w:type="dxa"/>
            <w:shd w:val="clear" w:color="auto" w:fill="auto"/>
            <w:noWrap/>
            <w:vAlign w:val="bottom"/>
          </w:tcPr>
          <w:p w:rsidR="00A06E36" w:rsidRPr="002C5107" w:rsidRDefault="00A06E36" w:rsidP="00C73E97">
            <w:pPr>
              <w:rPr>
                <w:color w:val="000000"/>
              </w:rPr>
            </w:pPr>
            <w:r w:rsidRPr="002C5107">
              <w:rPr>
                <w:color w:val="000000"/>
              </w:rPr>
              <w:t>Milly</w:t>
            </w:r>
          </w:p>
        </w:tc>
        <w:tc>
          <w:tcPr>
            <w:tcW w:w="1100" w:type="dxa"/>
            <w:shd w:val="clear" w:color="auto" w:fill="auto"/>
            <w:noWrap/>
            <w:vAlign w:val="bottom"/>
          </w:tcPr>
          <w:p w:rsidR="00A06E36" w:rsidRPr="002C5107" w:rsidRDefault="00A06E36" w:rsidP="00C73E97">
            <w:pPr>
              <w:jc w:val="center"/>
              <w:rPr>
                <w:color w:val="000000"/>
              </w:rPr>
            </w:pPr>
            <w:r w:rsidRPr="002C5107">
              <w:rPr>
                <w:color w:val="000000"/>
              </w:rPr>
              <w:t>F</w:t>
            </w:r>
          </w:p>
        </w:tc>
        <w:tc>
          <w:tcPr>
            <w:tcW w:w="2660" w:type="dxa"/>
            <w:shd w:val="clear" w:color="auto" w:fill="auto"/>
            <w:noWrap/>
            <w:vAlign w:val="bottom"/>
          </w:tcPr>
          <w:p w:rsidR="00A06E36" w:rsidRPr="002C5107" w:rsidRDefault="00A06E36" w:rsidP="00C73E97">
            <w:pPr>
              <w:rPr>
                <w:color w:val="000000"/>
              </w:rPr>
            </w:pPr>
            <w:r w:rsidRPr="002C5107">
              <w:rPr>
                <w:color w:val="000000"/>
              </w:rPr>
              <w:t>Life and Medical Sciences</w:t>
            </w:r>
          </w:p>
        </w:tc>
      </w:tr>
      <w:tr w:rsidR="00A06E36" w:rsidRPr="002C5107" w:rsidTr="00C73E97">
        <w:trPr>
          <w:trHeight w:val="300"/>
        </w:trPr>
        <w:tc>
          <w:tcPr>
            <w:tcW w:w="2000" w:type="dxa"/>
            <w:shd w:val="clear" w:color="auto" w:fill="auto"/>
            <w:noWrap/>
            <w:vAlign w:val="bottom"/>
          </w:tcPr>
          <w:p w:rsidR="00A06E36" w:rsidRPr="002C5107" w:rsidRDefault="00A06E36" w:rsidP="00C73E97">
            <w:pPr>
              <w:rPr>
                <w:color w:val="000000"/>
              </w:rPr>
            </w:pPr>
            <w:r w:rsidRPr="002C5107">
              <w:rPr>
                <w:color w:val="000000"/>
              </w:rPr>
              <w:t>Ada</w:t>
            </w:r>
          </w:p>
        </w:tc>
        <w:tc>
          <w:tcPr>
            <w:tcW w:w="1100" w:type="dxa"/>
            <w:shd w:val="clear" w:color="auto" w:fill="auto"/>
            <w:noWrap/>
            <w:vAlign w:val="bottom"/>
          </w:tcPr>
          <w:p w:rsidR="00A06E36" w:rsidRPr="002C5107" w:rsidRDefault="00A06E36" w:rsidP="00C73E97">
            <w:pPr>
              <w:jc w:val="center"/>
              <w:rPr>
                <w:color w:val="000000"/>
              </w:rPr>
            </w:pPr>
            <w:r w:rsidRPr="002C5107">
              <w:rPr>
                <w:color w:val="000000"/>
              </w:rPr>
              <w:t>F</w:t>
            </w:r>
          </w:p>
        </w:tc>
        <w:tc>
          <w:tcPr>
            <w:tcW w:w="2660" w:type="dxa"/>
            <w:shd w:val="clear" w:color="auto" w:fill="auto"/>
            <w:noWrap/>
            <w:vAlign w:val="bottom"/>
          </w:tcPr>
          <w:p w:rsidR="00A06E36" w:rsidRPr="002C5107" w:rsidRDefault="00A06E36" w:rsidP="00C73E97">
            <w:pPr>
              <w:rPr>
                <w:color w:val="000000"/>
              </w:rPr>
            </w:pPr>
            <w:r w:rsidRPr="002C5107">
              <w:rPr>
                <w:color w:val="000000"/>
              </w:rPr>
              <w:t>Computer Science</w:t>
            </w:r>
          </w:p>
        </w:tc>
      </w:tr>
      <w:tr w:rsidR="00A06E36" w:rsidRPr="002C5107" w:rsidTr="00C73E97">
        <w:trPr>
          <w:trHeight w:val="300"/>
        </w:trPr>
        <w:tc>
          <w:tcPr>
            <w:tcW w:w="2000" w:type="dxa"/>
            <w:shd w:val="clear" w:color="auto" w:fill="auto"/>
            <w:noWrap/>
            <w:vAlign w:val="bottom"/>
          </w:tcPr>
          <w:p w:rsidR="00A06E36" w:rsidRPr="002C5107" w:rsidRDefault="00A06E36" w:rsidP="00C73E97">
            <w:pPr>
              <w:rPr>
                <w:color w:val="000000"/>
              </w:rPr>
            </w:pPr>
            <w:r w:rsidRPr="002C5107">
              <w:rPr>
                <w:color w:val="000000"/>
              </w:rPr>
              <w:t>Ellora</w:t>
            </w:r>
          </w:p>
        </w:tc>
        <w:tc>
          <w:tcPr>
            <w:tcW w:w="1100" w:type="dxa"/>
            <w:shd w:val="clear" w:color="auto" w:fill="auto"/>
            <w:noWrap/>
            <w:vAlign w:val="bottom"/>
          </w:tcPr>
          <w:p w:rsidR="00A06E36" w:rsidRPr="002C5107" w:rsidRDefault="00A06E36" w:rsidP="00C73E97">
            <w:pPr>
              <w:jc w:val="center"/>
              <w:rPr>
                <w:color w:val="000000"/>
              </w:rPr>
            </w:pPr>
            <w:r w:rsidRPr="002C5107">
              <w:rPr>
                <w:color w:val="000000"/>
              </w:rPr>
              <w:t>F</w:t>
            </w:r>
          </w:p>
        </w:tc>
        <w:tc>
          <w:tcPr>
            <w:tcW w:w="2660" w:type="dxa"/>
            <w:shd w:val="clear" w:color="auto" w:fill="auto"/>
            <w:noWrap/>
            <w:vAlign w:val="bottom"/>
          </w:tcPr>
          <w:p w:rsidR="00A06E36" w:rsidRPr="002C5107" w:rsidRDefault="00A06E36" w:rsidP="00C73E97">
            <w:pPr>
              <w:rPr>
                <w:color w:val="000000"/>
              </w:rPr>
            </w:pPr>
            <w:r w:rsidRPr="002C5107">
              <w:rPr>
                <w:color w:val="000000"/>
              </w:rPr>
              <w:t>Life and Medical Sciences</w:t>
            </w:r>
          </w:p>
        </w:tc>
      </w:tr>
      <w:tr w:rsidR="00A06E36" w:rsidRPr="002C5107" w:rsidTr="00C73E97">
        <w:trPr>
          <w:trHeight w:val="300"/>
        </w:trPr>
        <w:tc>
          <w:tcPr>
            <w:tcW w:w="2000" w:type="dxa"/>
            <w:shd w:val="clear" w:color="auto" w:fill="auto"/>
            <w:noWrap/>
            <w:vAlign w:val="bottom"/>
          </w:tcPr>
          <w:p w:rsidR="00A06E36" w:rsidRPr="002C5107" w:rsidRDefault="00A06E36" w:rsidP="00C73E97">
            <w:pPr>
              <w:rPr>
                <w:color w:val="000000"/>
              </w:rPr>
            </w:pPr>
            <w:r w:rsidRPr="002C5107">
              <w:rPr>
                <w:color w:val="000000"/>
              </w:rPr>
              <w:t>Eva</w:t>
            </w:r>
          </w:p>
        </w:tc>
        <w:tc>
          <w:tcPr>
            <w:tcW w:w="1100" w:type="dxa"/>
            <w:shd w:val="clear" w:color="auto" w:fill="auto"/>
            <w:noWrap/>
            <w:vAlign w:val="bottom"/>
          </w:tcPr>
          <w:p w:rsidR="00A06E36" w:rsidRPr="002C5107" w:rsidRDefault="00A06E36" w:rsidP="00C73E97">
            <w:pPr>
              <w:jc w:val="center"/>
              <w:rPr>
                <w:color w:val="000000"/>
              </w:rPr>
            </w:pPr>
            <w:r w:rsidRPr="002C5107">
              <w:rPr>
                <w:color w:val="000000"/>
              </w:rPr>
              <w:t>F</w:t>
            </w:r>
          </w:p>
        </w:tc>
        <w:tc>
          <w:tcPr>
            <w:tcW w:w="2660" w:type="dxa"/>
            <w:shd w:val="clear" w:color="auto" w:fill="auto"/>
            <w:noWrap/>
            <w:vAlign w:val="bottom"/>
          </w:tcPr>
          <w:p w:rsidR="00A06E36" w:rsidRPr="002C5107" w:rsidRDefault="00A06E36" w:rsidP="00C73E97">
            <w:pPr>
              <w:rPr>
                <w:color w:val="000000"/>
              </w:rPr>
            </w:pPr>
            <w:r w:rsidRPr="002C5107">
              <w:rPr>
                <w:color w:val="000000"/>
              </w:rPr>
              <w:t>Business School</w:t>
            </w:r>
          </w:p>
        </w:tc>
      </w:tr>
      <w:tr w:rsidR="00A06E36" w:rsidRPr="002C5107" w:rsidTr="00C73E97">
        <w:trPr>
          <w:trHeight w:val="300"/>
        </w:trPr>
        <w:tc>
          <w:tcPr>
            <w:tcW w:w="2000" w:type="dxa"/>
            <w:shd w:val="clear" w:color="auto" w:fill="auto"/>
            <w:noWrap/>
            <w:vAlign w:val="bottom"/>
          </w:tcPr>
          <w:p w:rsidR="00A06E36" w:rsidRPr="002C5107" w:rsidRDefault="00A06E36" w:rsidP="00C73E97">
            <w:pPr>
              <w:rPr>
                <w:color w:val="000000"/>
              </w:rPr>
            </w:pPr>
            <w:r w:rsidRPr="002C5107">
              <w:rPr>
                <w:color w:val="000000"/>
              </w:rPr>
              <w:t>Jasmine</w:t>
            </w:r>
          </w:p>
        </w:tc>
        <w:tc>
          <w:tcPr>
            <w:tcW w:w="1100" w:type="dxa"/>
            <w:shd w:val="clear" w:color="auto" w:fill="auto"/>
            <w:noWrap/>
            <w:vAlign w:val="bottom"/>
          </w:tcPr>
          <w:p w:rsidR="00A06E36" w:rsidRPr="002C5107" w:rsidRDefault="00A06E36" w:rsidP="00C73E97">
            <w:pPr>
              <w:jc w:val="center"/>
              <w:rPr>
                <w:color w:val="000000"/>
              </w:rPr>
            </w:pPr>
            <w:r w:rsidRPr="002C5107">
              <w:rPr>
                <w:color w:val="000000"/>
              </w:rPr>
              <w:t>F</w:t>
            </w:r>
          </w:p>
        </w:tc>
        <w:tc>
          <w:tcPr>
            <w:tcW w:w="2660" w:type="dxa"/>
            <w:shd w:val="clear" w:color="auto" w:fill="auto"/>
            <w:noWrap/>
            <w:vAlign w:val="bottom"/>
          </w:tcPr>
          <w:p w:rsidR="00A06E36" w:rsidRPr="002C5107" w:rsidRDefault="00A06E36" w:rsidP="00C73E97">
            <w:pPr>
              <w:rPr>
                <w:color w:val="000000"/>
              </w:rPr>
            </w:pPr>
            <w:r w:rsidRPr="002C5107">
              <w:rPr>
                <w:color w:val="000000"/>
              </w:rPr>
              <w:t>Business School</w:t>
            </w:r>
          </w:p>
        </w:tc>
      </w:tr>
      <w:tr w:rsidR="00A06E36" w:rsidRPr="002C5107" w:rsidTr="00C73E97">
        <w:trPr>
          <w:trHeight w:val="300"/>
        </w:trPr>
        <w:tc>
          <w:tcPr>
            <w:tcW w:w="2000" w:type="dxa"/>
            <w:shd w:val="clear" w:color="auto" w:fill="auto"/>
            <w:noWrap/>
            <w:vAlign w:val="bottom"/>
          </w:tcPr>
          <w:p w:rsidR="00A06E36" w:rsidRPr="002C5107" w:rsidRDefault="00A06E36" w:rsidP="00C73E97">
            <w:pPr>
              <w:rPr>
                <w:color w:val="000000"/>
              </w:rPr>
            </w:pPr>
            <w:r w:rsidRPr="002C5107">
              <w:rPr>
                <w:color w:val="000000"/>
              </w:rPr>
              <w:t>Buster</w:t>
            </w:r>
          </w:p>
        </w:tc>
        <w:tc>
          <w:tcPr>
            <w:tcW w:w="1100" w:type="dxa"/>
            <w:shd w:val="clear" w:color="auto" w:fill="auto"/>
            <w:noWrap/>
            <w:vAlign w:val="bottom"/>
          </w:tcPr>
          <w:p w:rsidR="00A06E36" w:rsidRPr="002C5107" w:rsidRDefault="00A06E36" w:rsidP="00C73E97">
            <w:pPr>
              <w:jc w:val="center"/>
              <w:rPr>
                <w:color w:val="000000"/>
              </w:rPr>
            </w:pPr>
            <w:r w:rsidRPr="002C5107">
              <w:rPr>
                <w:color w:val="000000"/>
              </w:rPr>
              <w:t>M</w:t>
            </w:r>
          </w:p>
        </w:tc>
        <w:tc>
          <w:tcPr>
            <w:tcW w:w="2660" w:type="dxa"/>
            <w:shd w:val="clear" w:color="auto" w:fill="auto"/>
            <w:noWrap/>
            <w:vAlign w:val="bottom"/>
          </w:tcPr>
          <w:p w:rsidR="00A06E36" w:rsidRPr="002C5107" w:rsidRDefault="00A06E36" w:rsidP="00C73E97">
            <w:pPr>
              <w:rPr>
                <w:color w:val="000000"/>
              </w:rPr>
            </w:pPr>
            <w:r w:rsidRPr="002C5107">
              <w:rPr>
                <w:color w:val="000000"/>
              </w:rPr>
              <w:t>Humanities</w:t>
            </w:r>
          </w:p>
        </w:tc>
      </w:tr>
      <w:tr w:rsidR="00A06E36" w:rsidRPr="002C5107" w:rsidTr="00C73E97">
        <w:trPr>
          <w:trHeight w:val="300"/>
        </w:trPr>
        <w:tc>
          <w:tcPr>
            <w:tcW w:w="2000" w:type="dxa"/>
            <w:shd w:val="clear" w:color="auto" w:fill="auto"/>
            <w:noWrap/>
            <w:vAlign w:val="bottom"/>
          </w:tcPr>
          <w:p w:rsidR="00A06E36" w:rsidRPr="002C5107" w:rsidRDefault="00A06E36" w:rsidP="00C73E97">
            <w:pPr>
              <w:rPr>
                <w:color w:val="000000"/>
              </w:rPr>
            </w:pPr>
            <w:r w:rsidRPr="002C5107">
              <w:rPr>
                <w:color w:val="000000"/>
              </w:rPr>
              <w:t>Dawn</w:t>
            </w:r>
          </w:p>
        </w:tc>
        <w:tc>
          <w:tcPr>
            <w:tcW w:w="1100" w:type="dxa"/>
            <w:shd w:val="clear" w:color="auto" w:fill="auto"/>
            <w:noWrap/>
            <w:vAlign w:val="bottom"/>
          </w:tcPr>
          <w:p w:rsidR="00A06E36" w:rsidRPr="002C5107" w:rsidRDefault="00A06E36" w:rsidP="00C73E97">
            <w:pPr>
              <w:jc w:val="center"/>
              <w:rPr>
                <w:color w:val="000000"/>
              </w:rPr>
            </w:pPr>
            <w:r w:rsidRPr="002C5107">
              <w:rPr>
                <w:color w:val="000000"/>
              </w:rPr>
              <w:t>F</w:t>
            </w:r>
          </w:p>
        </w:tc>
        <w:tc>
          <w:tcPr>
            <w:tcW w:w="2660" w:type="dxa"/>
            <w:shd w:val="clear" w:color="auto" w:fill="auto"/>
            <w:noWrap/>
            <w:vAlign w:val="bottom"/>
          </w:tcPr>
          <w:p w:rsidR="00A06E36" w:rsidRPr="002C5107" w:rsidRDefault="00A06E36" w:rsidP="00C73E97">
            <w:pPr>
              <w:rPr>
                <w:color w:val="000000"/>
              </w:rPr>
            </w:pPr>
            <w:r w:rsidRPr="002C5107">
              <w:rPr>
                <w:color w:val="000000"/>
              </w:rPr>
              <w:t>Life and Medical Sciences</w:t>
            </w:r>
          </w:p>
        </w:tc>
      </w:tr>
      <w:tr w:rsidR="00A06E36" w:rsidRPr="002C5107" w:rsidTr="00C73E97">
        <w:trPr>
          <w:trHeight w:val="300"/>
        </w:trPr>
        <w:tc>
          <w:tcPr>
            <w:tcW w:w="2000" w:type="dxa"/>
            <w:shd w:val="clear" w:color="auto" w:fill="auto"/>
            <w:noWrap/>
            <w:vAlign w:val="bottom"/>
          </w:tcPr>
          <w:p w:rsidR="00A06E36" w:rsidRPr="002C5107" w:rsidRDefault="00A06E36" w:rsidP="00C73E97">
            <w:pPr>
              <w:rPr>
                <w:color w:val="000000"/>
              </w:rPr>
            </w:pPr>
            <w:r w:rsidRPr="002C5107">
              <w:rPr>
                <w:color w:val="000000"/>
              </w:rPr>
              <w:t>Naomi</w:t>
            </w:r>
          </w:p>
        </w:tc>
        <w:tc>
          <w:tcPr>
            <w:tcW w:w="1100" w:type="dxa"/>
            <w:shd w:val="clear" w:color="auto" w:fill="auto"/>
            <w:noWrap/>
            <w:vAlign w:val="bottom"/>
          </w:tcPr>
          <w:p w:rsidR="00A06E36" w:rsidRPr="002C5107" w:rsidRDefault="00A06E36" w:rsidP="00C73E97">
            <w:pPr>
              <w:jc w:val="center"/>
              <w:rPr>
                <w:color w:val="000000"/>
              </w:rPr>
            </w:pPr>
            <w:r w:rsidRPr="002C5107">
              <w:rPr>
                <w:color w:val="000000"/>
              </w:rPr>
              <w:t>F</w:t>
            </w:r>
          </w:p>
        </w:tc>
        <w:tc>
          <w:tcPr>
            <w:tcW w:w="2660" w:type="dxa"/>
            <w:shd w:val="clear" w:color="auto" w:fill="auto"/>
            <w:noWrap/>
            <w:vAlign w:val="bottom"/>
          </w:tcPr>
          <w:p w:rsidR="00A06E36" w:rsidRPr="002C5107" w:rsidRDefault="00A06E36" w:rsidP="00C73E97">
            <w:pPr>
              <w:rPr>
                <w:color w:val="000000"/>
              </w:rPr>
            </w:pPr>
            <w:r w:rsidRPr="002C5107">
              <w:rPr>
                <w:color w:val="000000"/>
              </w:rPr>
              <w:t>Life and Medical Sciences</w:t>
            </w:r>
          </w:p>
        </w:tc>
      </w:tr>
      <w:tr w:rsidR="00A06E36" w:rsidRPr="002C5107" w:rsidTr="00C73E97">
        <w:trPr>
          <w:trHeight w:val="300"/>
        </w:trPr>
        <w:tc>
          <w:tcPr>
            <w:tcW w:w="2000" w:type="dxa"/>
            <w:shd w:val="clear" w:color="auto" w:fill="auto"/>
            <w:noWrap/>
            <w:vAlign w:val="bottom"/>
          </w:tcPr>
          <w:p w:rsidR="00A06E36" w:rsidRPr="002C5107" w:rsidRDefault="00A06E36" w:rsidP="00C73E97">
            <w:pPr>
              <w:rPr>
                <w:color w:val="000000"/>
              </w:rPr>
            </w:pPr>
            <w:r w:rsidRPr="002C5107">
              <w:rPr>
                <w:color w:val="000000"/>
              </w:rPr>
              <w:t>Kiki</w:t>
            </w:r>
          </w:p>
        </w:tc>
        <w:tc>
          <w:tcPr>
            <w:tcW w:w="1100" w:type="dxa"/>
            <w:shd w:val="clear" w:color="auto" w:fill="auto"/>
            <w:noWrap/>
            <w:vAlign w:val="bottom"/>
          </w:tcPr>
          <w:p w:rsidR="00A06E36" w:rsidRPr="002C5107" w:rsidRDefault="00A06E36" w:rsidP="00C73E97">
            <w:pPr>
              <w:jc w:val="center"/>
              <w:rPr>
                <w:color w:val="000000"/>
              </w:rPr>
            </w:pPr>
            <w:r w:rsidRPr="002C5107">
              <w:rPr>
                <w:color w:val="000000"/>
              </w:rPr>
              <w:t>F</w:t>
            </w:r>
          </w:p>
        </w:tc>
        <w:tc>
          <w:tcPr>
            <w:tcW w:w="2660" w:type="dxa"/>
            <w:shd w:val="clear" w:color="auto" w:fill="auto"/>
            <w:noWrap/>
            <w:vAlign w:val="bottom"/>
          </w:tcPr>
          <w:p w:rsidR="00A06E36" w:rsidRPr="002C5107" w:rsidRDefault="00A06E36" w:rsidP="00C73E97">
            <w:pPr>
              <w:rPr>
                <w:color w:val="000000"/>
              </w:rPr>
            </w:pPr>
            <w:r w:rsidRPr="002C5107">
              <w:rPr>
                <w:color w:val="000000"/>
              </w:rPr>
              <w:t>Law</w:t>
            </w:r>
          </w:p>
        </w:tc>
      </w:tr>
    </w:tbl>
    <w:p w:rsidR="00A06E36" w:rsidRPr="002C5107" w:rsidRDefault="00A06E36" w:rsidP="00A06E36">
      <w:pPr>
        <w:rPr>
          <w:sz w:val="20"/>
        </w:rPr>
      </w:pPr>
      <w:r w:rsidRPr="002C5107">
        <w:rPr>
          <w:sz w:val="20"/>
        </w:rPr>
        <w:t>Figure 1: Key participant information</w:t>
      </w:r>
    </w:p>
    <w:p w:rsidR="00D20A6A" w:rsidRDefault="00D20A6A" w:rsidP="00911A6E">
      <w:pPr>
        <w:rPr>
          <w:i/>
        </w:rPr>
      </w:pPr>
    </w:p>
    <w:p w:rsidR="00911A6E" w:rsidRDefault="00911A6E" w:rsidP="00911A6E">
      <w:pPr>
        <w:rPr>
          <w:i/>
        </w:rPr>
      </w:pPr>
      <w:r>
        <w:rPr>
          <w:i/>
        </w:rPr>
        <w:t>Data collection and ethics</w:t>
      </w:r>
    </w:p>
    <w:p w:rsidR="00911A6E" w:rsidRDefault="00911A6E" w:rsidP="00911A6E">
      <w:pPr>
        <w:rPr>
          <w:i/>
        </w:rPr>
      </w:pPr>
    </w:p>
    <w:p w:rsidR="00911A6E" w:rsidRPr="00BB6681" w:rsidRDefault="00911A6E" w:rsidP="00911A6E">
      <w:pPr>
        <w:spacing w:after="120"/>
        <w:ind w:firstLine="227"/>
      </w:pPr>
      <w:r w:rsidRPr="00BB6681">
        <w:t xml:space="preserve">Data was collected across four sessions at </w:t>
      </w:r>
      <w:proofErr w:type="spellStart"/>
      <w:r w:rsidR="00D20A6A">
        <w:t>Southeastern</w:t>
      </w:r>
      <w:proofErr w:type="spellEnd"/>
      <w:r w:rsidRPr="00BB6681">
        <w:t xml:space="preserve"> during the 2015/16 academic year.  A typical </w:t>
      </w:r>
      <w:proofErr w:type="gramStart"/>
      <w:r w:rsidRPr="00BB6681">
        <w:t>two hour</w:t>
      </w:r>
      <w:proofErr w:type="gramEnd"/>
      <w:r w:rsidRPr="00BB6681">
        <w:t xml:space="preserve"> session included a starter activity designed to engage participants in one of the study’s main topics (</w:t>
      </w:r>
      <w:r w:rsidR="003942E1">
        <w:t>e.g.</w:t>
      </w:r>
      <w:r w:rsidRPr="00BB6681">
        <w:t xml:space="preserve"> transition), followed by individual or group </w:t>
      </w:r>
      <w:r>
        <w:t xml:space="preserve">conceptualisation </w:t>
      </w:r>
      <w:r w:rsidRPr="00BB6681">
        <w:t xml:space="preserve">collages based on themes raised by participants.  </w:t>
      </w:r>
      <w:r w:rsidR="003942E1">
        <w:t>Elicitation</w:t>
      </w:r>
      <w:r>
        <w:t xml:space="preserve"> took the shape of participant-led </w:t>
      </w:r>
      <w:r w:rsidRPr="00BB6681">
        <w:t>decod</w:t>
      </w:r>
      <w:r>
        <w:t>ing</w:t>
      </w:r>
      <w:r w:rsidRPr="00BB6681">
        <w:t xml:space="preserve"> and deconstruct</w:t>
      </w:r>
      <w:r w:rsidR="003942E1">
        <w:t>ions</w:t>
      </w:r>
      <w:r>
        <w:t xml:space="preserve"> of </w:t>
      </w:r>
      <w:r w:rsidRPr="00BB6681">
        <w:t xml:space="preserve">collages, which often sparked rich discussion, much as Diaz (2002), </w:t>
      </w:r>
      <w:proofErr w:type="spellStart"/>
      <w:r w:rsidRPr="00BB6681">
        <w:t>McNiff</w:t>
      </w:r>
      <w:proofErr w:type="spellEnd"/>
      <w:r w:rsidRPr="00BB6681">
        <w:t xml:space="preserve"> (2008) and </w:t>
      </w:r>
      <w:proofErr w:type="spellStart"/>
      <w:r w:rsidRPr="00BB6681">
        <w:t>Gerstenblatt</w:t>
      </w:r>
      <w:proofErr w:type="spellEnd"/>
      <w:r w:rsidRPr="00BB6681">
        <w:t xml:space="preserve"> (2013) intimate.  All collages were </w:t>
      </w:r>
      <w:proofErr w:type="gramStart"/>
      <w:r w:rsidRPr="00BB6681">
        <w:t>photographed</w:t>
      </w:r>
      <w:proofErr w:type="gramEnd"/>
      <w:r w:rsidRPr="00BB6681">
        <w:t xml:space="preserve"> and discussions were recorded and later transcribed.  </w:t>
      </w:r>
    </w:p>
    <w:p w:rsidR="00911A6E" w:rsidRDefault="00911A6E" w:rsidP="00911A6E">
      <w:pPr>
        <w:spacing w:after="120"/>
        <w:ind w:firstLine="227"/>
      </w:pPr>
      <w:r w:rsidRPr="00BB6681">
        <w:t xml:space="preserve">Participants were made aware of how their data would be used (including in further research outputs) and all signed consent forms, indicating the nature of the study, benefits and risks, the option of opting out at any time and highlighting the ethical approval of the research by </w:t>
      </w:r>
      <w:proofErr w:type="spellStart"/>
      <w:r w:rsidR="00D20A6A">
        <w:t>Southeastern</w:t>
      </w:r>
      <w:r w:rsidRPr="00BB6681">
        <w:t>’s</w:t>
      </w:r>
      <w:proofErr w:type="spellEnd"/>
      <w:r w:rsidRPr="00BB6681">
        <w:t xml:space="preserve"> research ethics committee</w:t>
      </w:r>
      <w:r w:rsidR="00D20A6A">
        <w:t xml:space="preserve">.  Due to the </w:t>
      </w:r>
      <w:proofErr w:type="gramStart"/>
      <w:r w:rsidR="00D20A6A">
        <w:t>fairly small</w:t>
      </w:r>
      <w:proofErr w:type="gramEnd"/>
      <w:r w:rsidR="00D20A6A">
        <w:t xml:space="preserve"> number of </w:t>
      </w:r>
      <w:r w:rsidR="003942E1">
        <w:t xml:space="preserve">participants within a modest </w:t>
      </w:r>
      <w:r w:rsidR="00D20A6A">
        <w:t>wider sample, it was decided to anonymise the institution.</w:t>
      </w:r>
    </w:p>
    <w:p w:rsidR="00911A6E" w:rsidRDefault="00911A6E" w:rsidP="00911A6E"/>
    <w:p w:rsidR="00911A6E" w:rsidRDefault="00911A6E" w:rsidP="00911A6E">
      <w:r>
        <w:rPr>
          <w:i/>
        </w:rPr>
        <w:t>Data analysis</w:t>
      </w:r>
    </w:p>
    <w:p w:rsidR="00911A6E" w:rsidRDefault="00911A6E" w:rsidP="00911A6E"/>
    <w:p w:rsidR="00911A6E" w:rsidRDefault="00911A6E" w:rsidP="00911A6E">
      <w:pPr>
        <w:spacing w:after="120"/>
        <w:ind w:firstLine="227"/>
      </w:pPr>
      <w:r w:rsidRPr="00BB6681">
        <w:t>As hinted at earlier, there are two forms of raw data in this study: collages and discussions</w:t>
      </w:r>
      <w:r w:rsidR="003942E1">
        <w:t xml:space="preserve"> (which were recorded and transcribed)</w:t>
      </w:r>
      <w:r w:rsidRPr="00BB6681">
        <w:t>.  Analysing collages directly can be tricky, with little guidance even within relevant literature (Butler-</w:t>
      </w:r>
      <w:proofErr w:type="spellStart"/>
      <w:r w:rsidRPr="00BB6681">
        <w:t>Kisber</w:t>
      </w:r>
      <w:proofErr w:type="spellEnd"/>
      <w:r w:rsidRPr="00BB6681">
        <w:t>, 2008; Butler-</w:t>
      </w:r>
      <w:proofErr w:type="spellStart"/>
      <w:r w:rsidRPr="00BB6681">
        <w:t>Kisber</w:t>
      </w:r>
      <w:proofErr w:type="spellEnd"/>
      <w:r w:rsidRPr="00BB6681">
        <w:t xml:space="preserve"> and </w:t>
      </w:r>
      <w:proofErr w:type="spellStart"/>
      <w:r w:rsidRPr="00BB6681">
        <w:t>Poldma</w:t>
      </w:r>
      <w:proofErr w:type="spellEnd"/>
      <w:r w:rsidRPr="00BB6681">
        <w:t>, 2009).  Prioritising the researcher’s interpretations is not in the spirit of knowledge co-production, particularly in art-based research (Finley, 2008).  So, while the participants produced collages, they also contributed heavily to their interpretations, which in turn the researcher thematically analysed (Flick, 2014).  The following findings are representative of what students shared about their collages and experiences.  Quotes are explicitly labelled as either students’ interpretations of their collages or part of group discussions.</w:t>
      </w:r>
      <w:r w:rsidR="00D20A6A">
        <w:t xml:space="preserve">  Due to the </w:t>
      </w:r>
      <w:r w:rsidR="00222227">
        <w:t>purposeful</w:t>
      </w:r>
      <w:r w:rsidR="00D20A6A">
        <w:t xml:space="preserve"> scope of this paper, compared to the wide-ranging topics collages often touched on, I have added </w:t>
      </w:r>
      <w:r w:rsidR="00D20A6A">
        <w:lastRenderedPageBreak/>
        <w:t xml:space="preserve">emphases on collages </w:t>
      </w:r>
      <w:proofErr w:type="gramStart"/>
      <w:r w:rsidR="00D20A6A">
        <w:t>in order to</w:t>
      </w:r>
      <w:proofErr w:type="gramEnd"/>
      <w:r w:rsidR="00D20A6A">
        <w:t xml:space="preserve"> focus the reader’s attention.  These emphases are based on participants’ interpretations and are linked to accompanying quotes.</w:t>
      </w:r>
      <w:r w:rsidR="000E234F">
        <w:t xml:space="preserve">  Because the scope of the paper is particularly refined compared to what collage-making sessions incorporated, student discussions are more prominent in the findings.</w:t>
      </w:r>
    </w:p>
    <w:p w:rsidR="00911A6E" w:rsidRDefault="00911A6E" w:rsidP="00911A6E">
      <w:pPr>
        <w:pStyle w:val="Heading1"/>
      </w:pPr>
      <w:r>
        <w:t>Findings</w:t>
      </w:r>
    </w:p>
    <w:p w:rsidR="001F26EF" w:rsidRDefault="000847BF" w:rsidP="001F26EF">
      <w:pPr>
        <w:spacing w:after="120"/>
        <w:ind w:firstLine="227"/>
      </w:pPr>
      <w:r>
        <w:t>Participants’ collages represented a rich view of t</w:t>
      </w:r>
      <w:r w:rsidR="0029595E">
        <w:t xml:space="preserve">heir </w:t>
      </w:r>
      <w:proofErr w:type="gramStart"/>
      <w:r w:rsidR="0029595E">
        <w:t>first year</w:t>
      </w:r>
      <w:proofErr w:type="gramEnd"/>
      <w:r w:rsidR="0029595E">
        <w:t xml:space="preserve"> experience at </w:t>
      </w:r>
      <w:proofErr w:type="spellStart"/>
      <w:r w:rsidR="0029595E">
        <w:t>Southeastern</w:t>
      </w:r>
      <w:proofErr w:type="spellEnd"/>
      <w:r>
        <w:t xml:space="preserve"> and their own interpretations of these compositions brought many themes to the surface, which were refined through ensuing group discussions and finally grouped by myself in a thematic analysis.  In this section, themes related to transition are laid out and concentrate on initial struggles at university and the import</w:t>
      </w:r>
      <w:r w:rsidR="00E54500">
        <w:t>ance of forming peer groups as</w:t>
      </w:r>
      <w:r>
        <w:t xml:space="preserve"> </w:t>
      </w:r>
      <w:r w:rsidR="00911A6E" w:rsidRPr="00E7123C">
        <w:t>a catalyst for smoother experiences, including academic success and social integration</w:t>
      </w:r>
      <w:r>
        <w:t>.</w:t>
      </w:r>
    </w:p>
    <w:p w:rsidR="009C6C0F" w:rsidRDefault="000847BF" w:rsidP="00FC7FD5">
      <w:pPr>
        <w:pStyle w:val="Heading2"/>
      </w:pPr>
      <w:r>
        <w:t>E</w:t>
      </w:r>
      <w:r w:rsidR="00911A6E">
        <w:t>arly struggles</w:t>
      </w:r>
    </w:p>
    <w:p w:rsidR="00911A6E" w:rsidRPr="00E7123C" w:rsidRDefault="002C7689" w:rsidP="00911A6E">
      <w:pPr>
        <w:spacing w:after="120"/>
        <w:ind w:firstLine="284"/>
      </w:pPr>
      <w:r>
        <w:t xml:space="preserve">The group referenced initial difficulties in adapting to university life, both academically and socially.  </w:t>
      </w:r>
      <w:proofErr w:type="gramStart"/>
      <w:r>
        <w:t>In particular, some</w:t>
      </w:r>
      <w:proofErr w:type="gramEnd"/>
      <w:r>
        <w:t xml:space="preserve"> described a</w:t>
      </w:r>
      <w:r w:rsidR="00911A6E" w:rsidRPr="00E7123C">
        <w:t xml:space="preserve"> mismatch between expectations about university and the reality </w:t>
      </w:r>
      <w:r>
        <w:t>they</w:t>
      </w:r>
      <w:r w:rsidRPr="00E7123C">
        <w:t xml:space="preserve"> </w:t>
      </w:r>
      <w:r w:rsidR="00911A6E" w:rsidRPr="00E7123C">
        <w:t>experienced:</w:t>
      </w:r>
    </w:p>
    <w:p w:rsidR="00911A6E" w:rsidRPr="00E7123C" w:rsidRDefault="00911A6E" w:rsidP="00911A6E"/>
    <w:p w:rsidR="00911A6E" w:rsidRPr="00E7123C" w:rsidRDefault="00911A6E" w:rsidP="00911A6E">
      <w:pPr>
        <w:spacing w:after="120"/>
        <w:ind w:left="720"/>
        <w:jc w:val="both"/>
        <w:rPr>
          <w:color w:val="010101"/>
        </w:rPr>
      </w:pPr>
      <w:r w:rsidRPr="00E7123C">
        <w:rPr>
          <w:sz w:val="22"/>
        </w:rPr>
        <w:t>“</w:t>
      </w:r>
      <w:r w:rsidRPr="00E7123C">
        <w:rPr>
          <w:color w:val="010101"/>
          <w:sz w:val="22"/>
        </w:rPr>
        <w:t xml:space="preserve">I think that when you start </w:t>
      </w:r>
      <w:proofErr w:type="spellStart"/>
      <w:r w:rsidRPr="00E7123C">
        <w:rPr>
          <w:color w:val="010101"/>
          <w:sz w:val="22"/>
        </w:rPr>
        <w:t>uni</w:t>
      </w:r>
      <w:proofErr w:type="spellEnd"/>
      <w:r w:rsidRPr="00E7123C">
        <w:rPr>
          <w:color w:val="010101"/>
          <w:sz w:val="22"/>
        </w:rPr>
        <w:t xml:space="preserve">, you get told so many different things by so many different people and it’s not like [what you are told].” </w:t>
      </w:r>
      <w:r w:rsidRPr="00E7123C">
        <w:rPr>
          <w:i/>
          <w:color w:val="010101"/>
          <w:sz w:val="22"/>
        </w:rPr>
        <w:t>Milly on expectations of university – group discussion</w:t>
      </w:r>
    </w:p>
    <w:p w:rsidR="00911A6E" w:rsidRPr="00E7123C" w:rsidRDefault="00911A6E" w:rsidP="00911A6E">
      <w:pPr>
        <w:spacing w:after="120"/>
        <w:ind w:firstLine="284"/>
      </w:pPr>
    </w:p>
    <w:p w:rsidR="00911A6E" w:rsidRDefault="00911A6E" w:rsidP="00911A6E">
      <w:pPr>
        <w:spacing w:after="120"/>
        <w:ind w:left="720"/>
        <w:rPr>
          <w:i/>
          <w:color w:val="010101"/>
          <w:sz w:val="22"/>
        </w:rPr>
      </w:pPr>
      <w:r w:rsidRPr="00E7123C">
        <w:rPr>
          <w:color w:val="010101"/>
          <w:sz w:val="22"/>
        </w:rPr>
        <w:t xml:space="preserve">“Sort of at the beginning there were times when I felt really low and was questioning whether I wanted to continue with the transition.” </w:t>
      </w:r>
      <w:r w:rsidRPr="00E7123C">
        <w:rPr>
          <w:i/>
          <w:color w:val="010101"/>
          <w:sz w:val="22"/>
        </w:rPr>
        <w:t>Dawn on early difficulties – group discussion</w:t>
      </w:r>
    </w:p>
    <w:p w:rsidR="00911A6E" w:rsidRPr="00E7123C" w:rsidRDefault="00911A6E" w:rsidP="00911A6E"/>
    <w:p w:rsidR="002C7689" w:rsidRPr="00E7123C" w:rsidRDefault="00911A6E" w:rsidP="002C7689">
      <w:pPr>
        <w:spacing w:after="120"/>
        <w:ind w:firstLine="284"/>
      </w:pPr>
      <w:r w:rsidRPr="00E7123C">
        <w:t xml:space="preserve"> </w:t>
      </w:r>
      <w:r w:rsidR="002C7689" w:rsidRPr="00E7123C">
        <w:t xml:space="preserve">Adjusting to a new way of learning and academic life in general contributed to challenging transitions into </w:t>
      </w:r>
      <w:proofErr w:type="spellStart"/>
      <w:r w:rsidR="0029595E">
        <w:t>Southeastern</w:t>
      </w:r>
      <w:proofErr w:type="spellEnd"/>
      <w:r w:rsidR="002C7689" w:rsidRPr="00E7123C">
        <w:t xml:space="preserve">.  For some, a sense of futility pervaded how much they could expect to succeed, while others struggled to get to grips with </w:t>
      </w:r>
      <w:r w:rsidR="002C7689">
        <w:t>independent</w:t>
      </w:r>
      <w:r w:rsidR="002C7689" w:rsidRPr="00E7123C">
        <w:t xml:space="preserve"> learning.</w:t>
      </w:r>
    </w:p>
    <w:p w:rsidR="002C7689" w:rsidRPr="00E7123C" w:rsidRDefault="002C7689" w:rsidP="002C7689"/>
    <w:p w:rsidR="002C7689" w:rsidRPr="00E7123C" w:rsidRDefault="002C7689" w:rsidP="002C7689">
      <w:pPr>
        <w:spacing w:after="120"/>
        <w:ind w:left="720"/>
        <w:jc w:val="both"/>
        <w:rPr>
          <w:sz w:val="22"/>
          <w:szCs w:val="20"/>
        </w:rPr>
      </w:pPr>
      <w:r w:rsidRPr="00E7123C">
        <w:rPr>
          <w:color w:val="010101"/>
          <w:sz w:val="22"/>
          <w:szCs w:val="20"/>
        </w:rPr>
        <w:t xml:space="preserve">“Like, nobody particularly cares if you are doing an assignment or not but like, whereas before, you know, your teacher everyday would ask, ‘How’s your assignment going?’  You know, ‘get that done’ [sic].” </w:t>
      </w:r>
      <w:r w:rsidRPr="00E7123C">
        <w:rPr>
          <w:i/>
          <w:color w:val="010101"/>
          <w:sz w:val="22"/>
          <w:szCs w:val="20"/>
        </w:rPr>
        <w:t>Buster – group discussion</w:t>
      </w:r>
    </w:p>
    <w:p w:rsidR="002C7689" w:rsidRPr="00E7123C" w:rsidRDefault="002C7689" w:rsidP="002C7689"/>
    <w:p w:rsidR="002C7689" w:rsidRPr="00E7123C" w:rsidRDefault="002C7689" w:rsidP="002C7689">
      <w:pPr>
        <w:spacing w:after="120"/>
        <w:ind w:left="720"/>
        <w:jc w:val="both"/>
        <w:rPr>
          <w:sz w:val="22"/>
          <w:szCs w:val="20"/>
        </w:rPr>
      </w:pPr>
      <w:r w:rsidRPr="00E7123C">
        <w:rPr>
          <w:color w:val="010101"/>
          <w:sz w:val="22"/>
          <w:szCs w:val="20"/>
        </w:rPr>
        <w:t xml:space="preserve">“It kind of felt like you were being thrown into the deep end and you had to like be able to manage yourself and like become more independent like that, so I think that it was kind </w:t>
      </w:r>
      <w:proofErr w:type="gramStart"/>
      <w:r w:rsidRPr="00E7123C">
        <w:rPr>
          <w:color w:val="010101"/>
          <w:sz w:val="22"/>
          <w:szCs w:val="20"/>
        </w:rPr>
        <w:t>of  battle</w:t>
      </w:r>
      <w:proofErr w:type="gramEnd"/>
      <w:r w:rsidRPr="00E7123C">
        <w:rPr>
          <w:color w:val="010101"/>
          <w:sz w:val="22"/>
          <w:szCs w:val="20"/>
        </w:rPr>
        <w:t xml:space="preserve"> at the start.” </w:t>
      </w:r>
      <w:r w:rsidRPr="00E7123C">
        <w:rPr>
          <w:i/>
          <w:color w:val="010101"/>
          <w:sz w:val="22"/>
          <w:szCs w:val="20"/>
        </w:rPr>
        <w:t>Naomi – group discussion</w:t>
      </w:r>
    </w:p>
    <w:p w:rsidR="002C7689" w:rsidRPr="00E7123C" w:rsidRDefault="002C7689" w:rsidP="002C7689"/>
    <w:p w:rsidR="002C7689" w:rsidRPr="00E7123C" w:rsidRDefault="002C7689" w:rsidP="002C7689">
      <w:pPr>
        <w:spacing w:after="120"/>
        <w:ind w:firstLine="284"/>
      </w:pPr>
      <w:r w:rsidRPr="00E7123C">
        <w:t>Coming to terms with these expectations produced a range of emotions, which Naomi bro</w:t>
      </w:r>
      <w:r w:rsidR="00E54500">
        <w:t xml:space="preserve">ught together in </w:t>
      </w:r>
      <w:r>
        <w:t>her collage</w:t>
      </w:r>
      <w:r w:rsidR="00654858">
        <w:t xml:space="preserve"> (Figure 2</w:t>
      </w:r>
      <w:r w:rsidRPr="00E7123C">
        <w:t>).  She reported “panicking”, being “freaked out”, and feeling “under pressure to prove yourself”.</w:t>
      </w:r>
    </w:p>
    <w:p w:rsidR="002C7689" w:rsidRPr="00E7123C" w:rsidRDefault="002C7689" w:rsidP="002C7689"/>
    <w:p w:rsidR="00A06E36" w:rsidRPr="002C5107" w:rsidRDefault="00A06E36" w:rsidP="00A06E36">
      <w:pPr>
        <w:ind w:firstLine="720"/>
      </w:pPr>
      <w:r>
        <w:rPr>
          <w:noProof/>
          <w:lang w:val="en-US" w:eastAsia="en-US"/>
        </w:rPr>
        <w:lastRenderedPageBreak/>
        <w:drawing>
          <wp:inline distT="0" distB="0" distL="0" distR="0" wp14:anchorId="4D47600A" wp14:editId="463C3A4C">
            <wp:extent cx="2675255" cy="3208655"/>
            <wp:effectExtent l="25400" t="0" r="0" b="0"/>
            <wp:docPr id="1" name="Picture 7" descr="C:\Users\sf13abr\Dropbox\uni HE\UH\EdD\Research\Data collection\Collages\Naomi_earlystrugg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f13abr\Dropbox\uni HE\UH\EdD\Research\Data collection\Collages\Naomi_earlystruggles.jpg"/>
                    <pic:cNvPicPr>
                      <a:picLocks noChangeAspect="1" noChangeArrowheads="1"/>
                    </pic:cNvPicPr>
                  </pic:nvPicPr>
                  <pic:blipFill>
                    <a:blip r:embed="rId8"/>
                    <a:srcRect/>
                    <a:stretch>
                      <a:fillRect/>
                    </a:stretch>
                  </pic:blipFill>
                  <pic:spPr bwMode="auto">
                    <a:xfrm>
                      <a:off x="0" y="0"/>
                      <a:ext cx="2675255" cy="3208655"/>
                    </a:xfrm>
                    <a:prstGeom prst="rect">
                      <a:avLst/>
                    </a:prstGeom>
                    <a:noFill/>
                    <a:ln w="9525">
                      <a:noFill/>
                      <a:miter lim="800000"/>
                      <a:headEnd/>
                      <a:tailEnd/>
                    </a:ln>
                  </pic:spPr>
                </pic:pic>
              </a:graphicData>
            </a:graphic>
          </wp:inline>
        </w:drawing>
      </w:r>
    </w:p>
    <w:p w:rsidR="00A06E36" w:rsidRPr="002C5107" w:rsidRDefault="00A06E36" w:rsidP="00A06E36">
      <w:pPr>
        <w:ind w:firstLine="720"/>
        <w:rPr>
          <w:sz w:val="22"/>
        </w:rPr>
      </w:pPr>
      <w:r>
        <w:rPr>
          <w:sz w:val="22"/>
        </w:rPr>
        <w:t>Figure 2</w:t>
      </w:r>
      <w:r w:rsidRPr="002C5107">
        <w:rPr>
          <w:sz w:val="22"/>
        </w:rPr>
        <w:t>: Naomi’s collage on transitioning into university (emphasis added)</w:t>
      </w:r>
    </w:p>
    <w:p w:rsidR="002C7689" w:rsidRDefault="002C7689" w:rsidP="002C7689">
      <w:pPr>
        <w:spacing w:after="120"/>
        <w:ind w:firstLine="284"/>
      </w:pPr>
    </w:p>
    <w:p w:rsidR="00911A6E" w:rsidRPr="00E7123C" w:rsidRDefault="00911A6E" w:rsidP="002C7689">
      <w:pPr>
        <w:spacing w:after="120"/>
        <w:ind w:firstLine="284"/>
      </w:pPr>
      <w:r w:rsidRPr="00E7123C">
        <w:t xml:space="preserve">Being underprepared </w:t>
      </w:r>
      <w:r w:rsidR="002C7689">
        <w:t xml:space="preserve">also surfaced in </w:t>
      </w:r>
      <w:r w:rsidRPr="00E7123C">
        <w:t>the following group collage (“going in blindfold”), along with feeling of being overwhelmed by academic workloads (pile of papers) and a sense of loneliness (two people at a table not interacting).</w:t>
      </w:r>
    </w:p>
    <w:p w:rsidR="00911A6E" w:rsidRPr="00E7123C" w:rsidRDefault="00911A6E" w:rsidP="00911A6E"/>
    <w:p w:rsidR="00A06E36" w:rsidRPr="002C5107" w:rsidRDefault="00A06E36" w:rsidP="00A06E36">
      <w:r>
        <w:rPr>
          <w:noProof/>
          <w:lang w:val="en-US" w:eastAsia="en-US"/>
        </w:rPr>
        <w:lastRenderedPageBreak/>
        <w:drawing>
          <wp:inline distT="0" distB="0" distL="0" distR="0" wp14:anchorId="71435531" wp14:editId="3F282A9E">
            <wp:extent cx="3665855" cy="4284345"/>
            <wp:effectExtent l="25400" t="0" r="0" b="0"/>
            <wp:docPr id="4" name="Picture 6" descr="C:\Users\sf13abr\Dropbox\uni HE\UH\EdD\Research\Data collection\Collages\Group_trans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f13abr\Dropbox\uni HE\UH\EdD\Research\Data collection\Collages\Group_transition.jpg"/>
                    <pic:cNvPicPr>
                      <a:picLocks noChangeAspect="1" noChangeArrowheads="1"/>
                    </pic:cNvPicPr>
                  </pic:nvPicPr>
                  <pic:blipFill>
                    <a:blip r:embed="rId9"/>
                    <a:srcRect/>
                    <a:stretch>
                      <a:fillRect/>
                    </a:stretch>
                  </pic:blipFill>
                  <pic:spPr bwMode="auto">
                    <a:xfrm>
                      <a:off x="0" y="0"/>
                      <a:ext cx="3665855" cy="4284345"/>
                    </a:xfrm>
                    <a:prstGeom prst="rect">
                      <a:avLst/>
                    </a:prstGeom>
                    <a:noFill/>
                    <a:ln w="9525">
                      <a:noFill/>
                      <a:miter lim="800000"/>
                      <a:headEnd/>
                      <a:tailEnd/>
                    </a:ln>
                  </pic:spPr>
                </pic:pic>
              </a:graphicData>
            </a:graphic>
          </wp:inline>
        </w:drawing>
      </w:r>
    </w:p>
    <w:p w:rsidR="00A06E36" w:rsidRDefault="00A06E36" w:rsidP="00A06E36">
      <w:pPr>
        <w:rPr>
          <w:b/>
        </w:rPr>
      </w:pPr>
      <w:r w:rsidRPr="002C5107">
        <w:rPr>
          <w:sz w:val="22"/>
        </w:rPr>
        <w:t xml:space="preserve">Figure </w:t>
      </w:r>
      <w:r>
        <w:rPr>
          <w:sz w:val="22"/>
        </w:rPr>
        <w:t>3</w:t>
      </w:r>
      <w:r w:rsidRPr="002C5107">
        <w:rPr>
          <w:sz w:val="22"/>
        </w:rPr>
        <w:t>: Group collage encompassing transition into university (emphasis added)</w:t>
      </w:r>
    </w:p>
    <w:p w:rsidR="00911A6E" w:rsidRDefault="00911A6E" w:rsidP="00911A6E">
      <w:pPr>
        <w:spacing w:after="120"/>
        <w:ind w:firstLine="284"/>
      </w:pPr>
    </w:p>
    <w:p w:rsidR="00911A6E" w:rsidRDefault="00911A6E" w:rsidP="00911A6E">
      <w:pPr>
        <w:spacing w:after="120"/>
        <w:ind w:firstLine="284"/>
      </w:pPr>
      <w:r w:rsidRPr="00E7123C">
        <w:t>The lack of friends and social integration was a source of anxiety for many of the participants.</w:t>
      </w:r>
    </w:p>
    <w:p w:rsidR="00911A6E" w:rsidRPr="00E7123C" w:rsidRDefault="00911A6E" w:rsidP="00911A6E"/>
    <w:p w:rsidR="00911A6E" w:rsidRDefault="00911A6E" w:rsidP="00911A6E">
      <w:pPr>
        <w:spacing w:after="120"/>
        <w:ind w:left="720"/>
        <w:jc w:val="both"/>
        <w:rPr>
          <w:i/>
          <w:color w:val="010101"/>
          <w:sz w:val="22"/>
        </w:rPr>
      </w:pPr>
      <w:r w:rsidRPr="00E7123C">
        <w:rPr>
          <w:sz w:val="22"/>
        </w:rPr>
        <w:t>“</w:t>
      </w:r>
      <w:r w:rsidRPr="00E7123C">
        <w:rPr>
          <w:color w:val="010101"/>
          <w:sz w:val="22"/>
        </w:rPr>
        <w:t xml:space="preserve">I thought it wouldn’t be that hard because I think I quite easily make friends wherever I go but then I just come here and it’s like I have no friends. [sic]” </w:t>
      </w:r>
      <w:r w:rsidRPr="00E7123C">
        <w:rPr>
          <w:i/>
          <w:color w:val="010101"/>
          <w:sz w:val="22"/>
        </w:rPr>
        <w:t>Milly – group discussion</w:t>
      </w:r>
    </w:p>
    <w:p w:rsidR="00911A6E" w:rsidRPr="00E7123C" w:rsidRDefault="00911A6E" w:rsidP="00911A6E"/>
    <w:p w:rsidR="00911A6E" w:rsidRPr="00E7123C" w:rsidRDefault="00911A6E" w:rsidP="00911A6E">
      <w:pPr>
        <w:spacing w:after="120"/>
        <w:ind w:left="720"/>
        <w:jc w:val="both"/>
        <w:rPr>
          <w:color w:val="010101"/>
          <w:sz w:val="22"/>
        </w:rPr>
      </w:pPr>
      <w:r w:rsidRPr="00E7123C">
        <w:rPr>
          <w:color w:val="010101"/>
          <w:sz w:val="22"/>
        </w:rPr>
        <w:t xml:space="preserve">“It’s really strange. I tend to clash with people more at </w:t>
      </w:r>
      <w:proofErr w:type="spellStart"/>
      <w:r w:rsidRPr="00E7123C">
        <w:rPr>
          <w:color w:val="010101"/>
          <w:sz w:val="22"/>
        </w:rPr>
        <w:t>uni</w:t>
      </w:r>
      <w:proofErr w:type="spellEnd"/>
      <w:r w:rsidRPr="00E7123C">
        <w:rPr>
          <w:color w:val="010101"/>
          <w:sz w:val="22"/>
        </w:rPr>
        <w:t xml:space="preserve"> than I ever did in my whole life at school.” </w:t>
      </w:r>
      <w:r w:rsidRPr="00E7123C">
        <w:rPr>
          <w:i/>
          <w:color w:val="010101"/>
          <w:sz w:val="22"/>
        </w:rPr>
        <w:t>Ellora – group discussion</w:t>
      </w:r>
    </w:p>
    <w:p w:rsidR="00911A6E" w:rsidRDefault="00911A6E" w:rsidP="00911A6E"/>
    <w:p w:rsidR="00911A6E" w:rsidRPr="00E7123C" w:rsidRDefault="00911A6E" w:rsidP="00911A6E">
      <w:pPr>
        <w:spacing w:after="120"/>
        <w:ind w:left="720"/>
        <w:jc w:val="both"/>
        <w:rPr>
          <w:sz w:val="22"/>
        </w:rPr>
      </w:pPr>
      <w:r w:rsidRPr="00E7123C">
        <w:rPr>
          <w:sz w:val="22"/>
          <w:lang w:val="en-US"/>
        </w:rPr>
        <w:t xml:space="preserve">“[Milly] See, like everyone says you make friends for life at </w:t>
      </w:r>
      <w:proofErr w:type="spellStart"/>
      <w:r w:rsidRPr="00E7123C">
        <w:rPr>
          <w:sz w:val="22"/>
          <w:lang w:val="en-US"/>
        </w:rPr>
        <w:t>uni</w:t>
      </w:r>
      <w:proofErr w:type="spellEnd"/>
      <w:r w:rsidRPr="00E7123C">
        <w:rPr>
          <w:sz w:val="22"/>
          <w:lang w:val="en-US"/>
        </w:rPr>
        <w:t xml:space="preserve">… [Eva] I </w:t>
      </w:r>
      <w:proofErr w:type="spellStart"/>
      <w:r w:rsidRPr="00E7123C">
        <w:rPr>
          <w:sz w:val="22"/>
          <w:lang w:val="en-US"/>
        </w:rPr>
        <w:t>ain’t</w:t>
      </w:r>
      <w:proofErr w:type="spellEnd"/>
      <w:r w:rsidRPr="00E7123C">
        <w:rPr>
          <w:sz w:val="22"/>
          <w:lang w:val="en-US"/>
        </w:rPr>
        <w:t xml:space="preserve"> found them friends for life, yet [sic].</w:t>
      </w:r>
      <w:r w:rsidRPr="00E7123C">
        <w:rPr>
          <w:sz w:val="22"/>
        </w:rPr>
        <w:t xml:space="preserve">” </w:t>
      </w:r>
      <w:r w:rsidRPr="00E7123C">
        <w:rPr>
          <w:i/>
          <w:iCs/>
          <w:sz w:val="22"/>
        </w:rPr>
        <w:t>Milly and Eva – group discussion</w:t>
      </w:r>
    </w:p>
    <w:p w:rsidR="00911A6E" w:rsidRDefault="00911A6E" w:rsidP="00911A6E"/>
    <w:p w:rsidR="009C6C0F" w:rsidRDefault="00911A6E" w:rsidP="00FC7FD5">
      <w:pPr>
        <w:spacing w:after="120"/>
        <w:ind w:left="720"/>
        <w:jc w:val="both"/>
      </w:pPr>
      <w:r w:rsidRPr="00E7123C">
        <w:rPr>
          <w:color w:val="010101"/>
          <w:sz w:val="22"/>
        </w:rPr>
        <w:t xml:space="preserve">“I expected to come in and everyone was on the same boat like in my flat and just to make friends like that.” </w:t>
      </w:r>
      <w:r w:rsidRPr="00E7123C">
        <w:rPr>
          <w:i/>
          <w:color w:val="010101"/>
          <w:sz w:val="22"/>
        </w:rPr>
        <w:t>Naomi</w:t>
      </w:r>
      <w:r w:rsidRPr="00E7123C">
        <w:rPr>
          <w:color w:val="010101"/>
          <w:sz w:val="22"/>
        </w:rPr>
        <w:t xml:space="preserve"> </w:t>
      </w:r>
      <w:r w:rsidRPr="00E7123C">
        <w:rPr>
          <w:i/>
          <w:iCs/>
          <w:sz w:val="22"/>
        </w:rPr>
        <w:t>– group discussion</w:t>
      </w:r>
    </w:p>
    <w:p w:rsidR="009C6C0F" w:rsidRDefault="00444701" w:rsidP="00FC7FD5">
      <w:pPr>
        <w:pStyle w:val="Heading2"/>
      </w:pPr>
      <w:r>
        <w:t>Eventual</w:t>
      </w:r>
      <w:r w:rsidR="00911A6E">
        <w:t xml:space="preserve"> success</w:t>
      </w:r>
    </w:p>
    <w:p w:rsidR="00911A6E" w:rsidRPr="00E7123C" w:rsidRDefault="003374FE" w:rsidP="00EC19BE">
      <w:pPr>
        <w:spacing w:after="120"/>
        <w:ind w:firstLine="227"/>
      </w:pPr>
      <w:r>
        <w:t>As their first year progressed, p</w:t>
      </w:r>
      <w:r w:rsidR="0026393E">
        <w:t>articipants signalled a turning point in their transition to university centred around the formation of peer groups</w:t>
      </w:r>
      <w:r>
        <w:t xml:space="preserve">, either </w:t>
      </w:r>
      <w:r>
        <w:lastRenderedPageBreak/>
        <w:t>academically or in social settings</w:t>
      </w:r>
      <w:r w:rsidR="00EC19BE">
        <w:t xml:space="preserve">.  </w:t>
      </w:r>
      <w:r>
        <w:t xml:space="preserve">Kiki’s collage </w:t>
      </w:r>
      <w:r w:rsidR="00EC19BE">
        <w:t>stresses</w:t>
      </w:r>
      <w:r>
        <w:t xml:space="preserve"> the importance of peer groups in enjoying a “smooth transition” </w:t>
      </w:r>
      <w:r w:rsidR="00911A6E" w:rsidRPr="00E7123C">
        <w:t xml:space="preserve">(Figure </w:t>
      </w:r>
      <w:r w:rsidR="00654858">
        <w:t>4</w:t>
      </w:r>
      <w:r w:rsidR="00911A6E" w:rsidRPr="00E7123C">
        <w:t>):</w:t>
      </w:r>
    </w:p>
    <w:p w:rsidR="00911A6E" w:rsidRPr="00E7123C" w:rsidRDefault="00911A6E" w:rsidP="00911A6E"/>
    <w:p w:rsidR="00A06E36" w:rsidRPr="002C5107" w:rsidRDefault="00A06E36" w:rsidP="00A06E36">
      <w:r>
        <w:rPr>
          <w:noProof/>
          <w:lang w:val="en-US" w:eastAsia="en-US"/>
        </w:rPr>
        <w:drawing>
          <wp:inline distT="0" distB="0" distL="0" distR="0" wp14:anchorId="7B5C6394" wp14:editId="22651FE0">
            <wp:extent cx="2641600" cy="2446655"/>
            <wp:effectExtent l="25400" t="0" r="0" b="0"/>
            <wp:docPr id="5" name="Picture 5" descr="C:\Users\sf13abr\Dropbox\uni HE\UH\EdD\Research\Data collection\Collages\Kiki_peergrou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f13abr\Dropbox\uni HE\UH\EdD\Research\Data collection\Collages\Kiki_peergroups.jpg"/>
                    <pic:cNvPicPr>
                      <a:picLocks noChangeAspect="1" noChangeArrowheads="1"/>
                    </pic:cNvPicPr>
                  </pic:nvPicPr>
                  <pic:blipFill>
                    <a:blip r:embed="rId10"/>
                    <a:srcRect/>
                    <a:stretch>
                      <a:fillRect/>
                    </a:stretch>
                  </pic:blipFill>
                  <pic:spPr bwMode="auto">
                    <a:xfrm>
                      <a:off x="0" y="0"/>
                      <a:ext cx="2641600" cy="2446655"/>
                    </a:xfrm>
                    <a:prstGeom prst="rect">
                      <a:avLst/>
                    </a:prstGeom>
                    <a:noFill/>
                    <a:ln w="9525">
                      <a:noFill/>
                      <a:miter lim="800000"/>
                      <a:headEnd/>
                      <a:tailEnd/>
                    </a:ln>
                  </pic:spPr>
                </pic:pic>
              </a:graphicData>
            </a:graphic>
          </wp:inline>
        </w:drawing>
      </w:r>
    </w:p>
    <w:p w:rsidR="00A06E36" w:rsidRPr="002C5107" w:rsidRDefault="00A06E36" w:rsidP="00A06E36">
      <w:pPr>
        <w:spacing w:line="360" w:lineRule="auto"/>
      </w:pPr>
      <w:r w:rsidRPr="002C5107">
        <w:rPr>
          <w:sz w:val="22"/>
        </w:rPr>
        <w:t xml:space="preserve">Figure </w:t>
      </w:r>
      <w:r>
        <w:rPr>
          <w:sz w:val="22"/>
        </w:rPr>
        <w:t>4</w:t>
      </w:r>
      <w:r w:rsidRPr="002C5107">
        <w:rPr>
          <w:sz w:val="22"/>
        </w:rPr>
        <w:t>: Kiki’s collage on transition (emphasis added)</w:t>
      </w:r>
    </w:p>
    <w:p w:rsidR="00911A6E" w:rsidRPr="00E7123C" w:rsidRDefault="00911A6E" w:rsidP="00911A6E">
      <w:r w:rsidRPr="00E7123C">
        <w:tab/>
      </w:r>
    </w:p>
    <w:p w:rsidR="00911A6E" w:rsidRPr="00E7123C" w:rsidRDefault="00911A6E" w:rsidP="00911A6E">
      <w:pPr>
        <w:spacing w:after="120"/>
        <w:ind w:left="720"/>
        <w:jc w:val="both"/>
        <w:rPr>
          <w:sz w:val="22"/>
        </w:rPr>
      </w:pPr>
      <w:r w:rsidRPr="00E7123C">
        <w:rPr>
          <w:sz w:val="22"/>
        </w:rPr>
        <w:t>“</w:t>
      </w:r>
      <w:r w:rsidRPr="00E7123C">
        <w:rPr>
          <w:color w:val="010101"/>
          <w:sz w:val="22"/>
        </w:rPr>
        <w:t xml:space="preserve">I think the best way to ensure […] that you have a good smooth transition is to make sure that you have a good group of friends that you can have and just speak to in any aspect, whether it’s university or personal life.” </w:t>
      </w:r>
      <w:r w:rsidRPr="00E7123C">
        <w:rPr>
          <w:i/>
          <w:color w:val="010101"/>
          <w:sz w:val="22"/>
        </w:rPr>
        <w:t>Kiki – collage interpretation</w:t>
      </w:r>
    </w:p>
    <w:p w:rsidR="00911A6E" w:rsidRPr="00E7123C" w:rsidRDefault="00911A6E" w:rsidP="00911A6E"/>
    <w:p w:rsidR="00911A6E" w:rsidRPr="00E7123C" w:rsidRDefault="00911A6E" w:rsidP="00911A6E">
      <w:pPr>
        <w:spacing w:after="120"/>
        <w:ind w:firstLine="227"/>
      </w:pPr>
      <w:r w:rsidRPr="00E7123C">
        <w:t>Naomi confirmed the importance of developing peer groups as a precursor for success:</w:t>
      </w:r>
    </w:p>
    <w:p w:rsidR="00911A6E" w:rsidRPr="00E7123C" w:rsidRDefault="00911A6E" w:rsidP="00911A6E"/>
    <w:p w:rsidR="00911A6E" w:rsidRPr="00E7123C" w:rsidRDefault="00911A6E" w:rsidP="00911A6E">
      <w:pPr>
        <w:spacing w:after="120"/>
        <w:ind w:left="720"/>
        <w:jc w:val="both"/>
        <w:rPr>
          <w:color w:val="010101"/>
          <w:sz w:val="22"/>
        </w:rPr>
      </w:pPr>
      <w:r w:rsidRPr="00E7123C">
        <w:rPr>
          <w:sz w:val="22"/>
        </w:rPr>
        <w:t>“</w:t>
      </w:r>
      <w:r w:rsidRPr="00E7123C">
        <w:rPr>
          <w:color w:val="010101"/>
          <w:sz w:val="22"/>
        </w:rPr>
        <w:t xml:space="preserve">If you’ve made friends like peers then if you’re struggling with something you can ask them, they can help you like feel more confident about the piece of work you’re struggling on, whereas if you didn’t build them social relationships in the first place you’d feel quite isolated [sic].” </w:t>
      </w:r>
      <w:r w:rsidRPr="00E7123C">
        <w:rPr>
          <w:i/>
          <w:color w:val="010101"/>
          <w:sz w:val="22"/>
        </w:rPr>
        <w:t>Naomi – group discussion</w:t>
      </w:r>
    </w:p>
    <w:p w:rsidR="00911A6E" w:rsidRDefault="00911A6E" w:rsidP="00911A6E"/>
    <w:p w:rsidR="0063154E" w:rsidRPr="00E7123C" w:rsidRDefault="0063154E" w:rsidP="0063154E">
      <w:pPr>
        <w:spacing w:after="120"/>
        <w:ind w:left="720"/>
        <w:jc w:val="both"/>
        <w:rPr>
          <w:i/>
          <w:color w:val="010101"/>
          <w:sz w:val="22"/>
          <w:szCs w:val="20"/>
        </w:rPr>
      </w:pPr>
      <w:r w:rsidRPr="00E7123C">
        <w:rPr>
          <w:color w:val="010101"/>
          <w:sz w:val="22"/>
          <w:szCs w:val="20"/>
        </w:rPr>
        <w:t xml:space="preserve">“If you put yourself out there and join clubs and things it’s going to be easier.” </w:t>
      </w:r>
      <w:r w:rsidRPr="00E7123C">
        <w:rPr>
          <w:i/>
          <w:color w:val="010101"/>
          <w:sz w:val="22"/>
          <w:szCs w:val="20"/>
        </w:rPr>
        <w:t>Naomi – group discussion</w:t>
      </w:r>
    </w:p>
    <w:p w:rsidR="0063154E" w:rsidRPr="00E7123C" w:rsidRDefault="0063154E" w:rsidP="00911A6E"/>
    <w:p w:rsidR="00911A6E" w:rsidRPr="00E7123C" w:rsidRDefault="00911A6E" w:rsidP="00911A6E">
      <w:pPr>
        <w:spacing w:after="120"/>
        <w:ind w:firstLine="227"/>
        <w:rPr>
          <w:color w:val="010101"/>
        </w:rPr>
      </w:pPr>
      <w:r w:rsidRPr="00E7123C">
        <w:rPr>
          <w:color w:val="010101"/>
        </w:rPr>
        <w:t>Dawn drew attention to the linear journey she experienced as it was not until Semester B that she became part of a peer group:</w:t>
      </w:r>
    </w:p>
    <w:p w:rsidR="00911A6E" w:rsidRPr="00E7123C" w:rsidRDefault="00911A6E" w:rsidP="00911A6E"/>
    <w:p w:rsidR="00911A6E" w:rsidRPr="00E7123C" w:rsidRDefault="00911A6E" w:rsidP="00911A6E">
      <w:pPr>
        <w:spacing w:after="120"/>
        <w:ind w:left="720"/>
        <w:jc w:val="both"/>
        <w:rPr>
          <w:sz w:val="22"/>
        </w:rPr>
      </w:pPr>
      <w:r w:rsidRPr="00E7123C">
        <w:rPr>
          <w:color w:val="010101"/>
          <w:sz w:val="22"/>
        </w:rPr>
        <w:t xml:space="preserve">“I felt like I was sort of dealing with a lot on my own, suffering a lot […] but now this semester [Semester B] I’ve sort of found a solid group of friends […] so I feel like I’m working with more of a team now […] and therefore I’m enjoying it more.” </w:t>
      </w:r>
      <w:r w:rsidRPr="00E7123C">
        <w:rPr>
          <w:i/>
          <w:color w:val="010101"/>
          <w:sz w:val="22"/>
        </w:rPr>
        <w:t>Dawn – group discussion</w:t>
      </w:r>
    </w:p>
    <w:p w:rsidR="00911A6E" w:rsidRPr="00E7123C" w:rsidRDefault="00911A6E" w:rsidP="00911A6E">
      <w:r w:rsidRPr="00E7123C">
        <w:t xml:space="preserve"> </w:t>
      </w:r>
    </w:p>
    <w:p w:rsidR="00911A6E" w:rsidRDefault="00911A6E" w:rsidP="00911A6E">
      <w:pPr>
        <w:spacing w:after="120"/>
        <w:ind w:firstLine="227"/>
      </w:pPr>
      <w:r w:rsidRPr="00E7123C">
        <w:t>Kiki praised the efforts of her Law course for attempting to foster peer groups early on:</w:t>
      </w:r>
    </w:p>
    <w:p w:rsidR="00911A6E" w:rsidRPr="00E7123C" w:rsidRDefault="00911A6E" w:rsidP="00911A6E"/>
    <w:p w:rsidR="00911A6E" w:rsidRPr="00E7123C" w:rsidRDefault="00911A6E" w:rsidP="00911A6E">
      <w:pPr>
        <w:spacing w:after="120"/>
        <w:ind w:left="720"/>
        <w:jc w:val="both"/>
        <w:rPr>
          <w:color w:val="010101"/>
          <w:sz w:val="22"/>
        </w:rPr>
      </w:pPr>
      <w:r w:rsidRPr="00E7123C">
        <w:rPr>
          <w:sz w:val="22"/>
        </w:rPr>
        <w:lastRenderedPageBreak/>
        <w:t>“O</w:t>
      </w:r>
      <w:r w:rsidRPr="00E7123C">
        <w:rPr>
          <w:color w:val="010101"/>
          <w:sz w:val="22"/>
        </w:rPr>
        <w:t xml:space="preserve">ne of the lecturers was kind of hell bent on making sure that we had two other people that we studied with […] because how you’re more likely to succeed.” </w:t>
      </w:r>
      <w:proofErr w:type="gramStart"/>
      <w:r w:rsidRPr="00E7123C">
        <w:rPr>
          <w:i/>
          <w:color w:val="010101"/>
          <w:sz w:val="22"/>
        </w:rPr>
        <w:t>Kiki  –</w:t>
      </w:r>
      <w:proofErr w:type="gramEnd"/>
      <w:r w:rsidRPr="00E7123C">
        <w:rPr>
          <w:i/>
          <w:color w:val="010101"/>
          <w:sz w:val="22"/>
        </w:rPr>
        <w:t xml:space="preserve"> group discussion</w:t>
      </w:r>
    </w:p>
    <w:p w:rsidR="00911A6E" w:rsidRPr="00E7123C" w:rsidRDefault="00911A6E" w:rsidP="00911A6E"/>
    <w:p w:rsidR="00911A6E" w:rsidRDefault="00911A6E" w:rsidP="00911A6E">
      <w:pPr>
        <w:spacing w:after="120"/>
        <w:ind w:firstLine="227"/>
      </w:pPr>
      <w:r w:rsidRPr="00E7123C">
        <w:t xml:space="preserve">In these early findings, </w:t>
      </w:r>
      <w:r w:rsidR="003374FE">
        <w:t xml:space="preserve">which revolve exclusively around transition, </w:t>
      </w:r>
      <w:r w:rsidR="00153A2E">
        <w:t xml:space="preserve">participants describe stressful, anxious starts to university, punctuated by mismatches in academic expectations and a sense of loneliness.  </w:t>
      </w:r>
      <w:r w:rsidRPr="00E7123C">
        <w:t xml:space="preserve">However, </w:t>
      </w:r>
      <w:r w:rsidR="00153A2E">
        <w:t xml:space="preserve">eventual “smooth transitions” occurred once peer groups became </w:t>
      </w:r>
      <w:r w:rsidRPr="00E7123C">
        <w:t>established</w:t>
      </w:r>
      <w:r w:rsidR="00153A2E">
        <w:t xml:space="preserve"> later in the year.</w:t>
      </w:r>
    </w:p>
    <w:p w:rsidR="00911A6E" w:rsidRDefault="00911A6E" w:rsidP="00911A6E">
      <w:pPr>
        <w:pStyle w:val="Heading1"/>
      </w:pPr>
      <w:r>
        <w:t>Discussion</w:t>
      </w:r>
    </w:p>
    <w:p w:rsidR="00911A6E" w:rsidRPr="00E7123C" w:rsidRDefault="00822141" w:rsidP="00911A6E">
      <w:pPr>
        <w:spacing w:after="120"/>
        <w:ind w:firstLine="227"/>
      </w:pPr>
      <w:r>
        <w:t xml:space="preserve">The following discussion considers these findings in relation to key literature.  Of interest to this paper, is the confirmation of initial struggles for WP students at </w:t>
      </w:r>
      <w:proofErr w:type="spellStart"/>
      <w:r w:rsidR="00B60BE2">
        <w:t>Southeastern</w:t>
      </w:r>
      <w:proofErr w:type="spellEnd"/>
      <w:r w:rsidR="00760A5E">
        <w:t xml:space="preserve"> </w:t>
      </w:r>
      <w:r w:rsidR="005114C4">
        <w:t xml:space="preserve">and of their expectation mismatches as </w:t>
      </w:r>
      <w:r w:rsidR="00C86C83">
        <w:t xml:space="preserve">a </w:t>
      </w:r>
      <w:r w:rsidR="005114C4">
        <w:t xml:space="preserve">precursor for that experience.  However, unlike some of the studies cited earlier, this initial hurdle did not persist past the first semester and students in this sample enjoyed success, albeit in delayed fashion.  </w:t>
      </w:r>
    </w:p>
    <w:p w:rsidR="00911A6E" w:rsidRDefault="00A82BC5" w:rsidP="00911A6E">
      <w:pPr>
        <w:pStyle w:val="Heading2"/>
      </w:pPr>
      <w:r>
        <w:t>A feel for the game?</w:t>
      </w:r>
    </w:p>
    <w:p w:rsidR="009A1D9A" w:rsidRDefault="00760A5E" w:rsidP="005114C4">
      <w:pPr>
        <w:spacing w:after="120"/>
        <w:ind w:firstLine="227"/>
      </w:pPr>
      <w:r>
        <w:t xml:space="preserve">In their findings on how working-class students </w:t>
      </w:r>
      <w:r w:rsidR="00A82BC5">
        <w:t xml:space="preserve">adjusted to university life, </w:t>
      </w:r>
      <w:r>
        <w:t xml:space="preserve">Reay et al. (2009) </w:t>
      </w:r>
      <w:r w:rsidR="00A82BC5">
        <w:t>commented that they tended to stumble towards an understanding of how to navigate HE, that they “</w:t>
      </w:r>
      <w:proofErr w:type="spellStart"/>
      <w:r w:rsidR="00A82BC5">
        <w:t>grop</w:t>
      </w:r>
      <w:proofErr w:type="spellEnd"/>
      <w:r w:rsidR="00A82BC5">
        <w:t>[</w:t>
      </w:r>
      <w:proofErr w:type="spellStart"/>
      <w:r w:rsidR="00A82BC5">
        <w:t>ed</w:t>
      </w:r>
      <w:proofErr w:type="spellEnd"/>
      <w:r w:rsidR="00A82BC5">
        <w:t>] towards rather than grasp[</w:t>
      </w:r>
      <w:proofErr w:type="spellStart"/>
      <w:r w:rsidR="00A82BC5">
        <w:t>ed</w:t>
      </w:r>
      <w:proofErr w:type="spellEnd"/>
      <w:r w:rsidR="00A82BC5">
        <w:t xml:space="preserve">] a ‘feel for the game’” (p.1113).  The authors concluded that a lack of appropriate capital prevented them from immediately establishing themselves.  This paper suggests similar observations in that the students at </w:t>
      </w:r>
      <w:proofErr w:type="spellStart"/>
      <w:r w:rsidR="00A82BC5">
        <w:t>Southeastern</w:t>
      </w:r>
      <w:proofErr w:type="spellEnd"/>
      <w:r w:rsidR="00A82BC5">
        <w:t xml:space="preserve"> faced an immediate hurdle in adjusting to university, with a key reason being their expectations of academic and social life did not materialise. </w:t>
      </w:r>
      <w:r w:rsidR="00097610">
        <w:t xml:space="preserve"> It could be inferred that this mismatch is caused by a lack of capitals</w:t>
      </w:r>
      <w:r w:rsidR="00EC19BE">
        <w:t xml:space="preserve"> (Bourdieu and </w:t>
      </w:r>
      <w:proofErr w:type="spellStart"/>
      <w:r w:rsidR="00EC19BE">
        <w:t>Passeron</w:t>
      </w:r>
      <w:proofErr w:type="spellEnd"/>
      <w:r w:rsidR="00EC19BE">
        <w:t>, 1977)</w:t>
      </w:r>
      <w:r w:rsidR="00097610">
        <w:t xml:space="preserve">, such as an inability to work independently and adapt to new teaching and learning styles, confirmed by Naomi as “being thrown in at the deep end”.  </w:t>
      </w:r>
      <w:r w:rsidR="00F127A9">
        <w:t>S</w:t>
      </w:r>
      <w:r w:rsidR="00097610">
        <w:t>ocial networks</w:t>
      </w:r>
      <w:r w:rsidR="00F127A9">
        <w:t xml:space="preserve"> were slow to develop</w:t>
      </w:r>
      <w:r w:rsidR="00EC19BE">
        <w:t xml:space="preserve"> </w:t>
      </w:r>
      <w:r w:rsidR="00EC19BE">
        <w:rPr>
          <w:lang w:val="en-US" w:eastAsia="en-US"/>
        </w:rPr>
        <w:t xml:space="preserve">much as Yorke and </w:t>
      </w:r>
      <w:proofErr w:type="spellStart"/>
      <w:r w:rsidR="00EC19BE">
        <w:rPr>
          <w:lang w:val="en-US" w:eastAsia="en-US"/>
        </w:rPr>
        <w:t>Longden</w:t>
      </w:r>
      <w:proofErr w:type="spellEnd"/>
      <w:r w:rsidR="00EC19BE">
        <w:rPr>
          <w:lang w:val="en-US" w:eastAsia="en-US"/>
        </w:rPr>
        <w:t xml:space="preserve"> (2007) and Wingate (2007) presumed</w:t>
      </w:r>
      <w:r w:rsidR="00F127A9">
        <w:t>,</w:t>
      </w:r>
      <w:r w:rsidR="00097610">
        <w:t xml:space="preserve"> further exacerbat</w:t>
      </w:r>
      <w:r w:rsidR="00F127A9">
        <w:t>ing</w:t>
      </w:r>
      <w:r w:rsidR="00097610">
        <w:t xml:space="preserve"> students’ difficult transition</w:t>
      </w:r>
      <w:r w:rsidR="00F127A9">
        <w:t xml:space="preserve">: “I thought it wouldn’t be that hard” (Milly); “I clash with people more at </w:t>
      </w:r>
      <w:proofErr w:type="spellStart"/>
      <w:r w:rsidR="00F127A9">
        <w:t>uni</w:t>
      </w:r>
      <w:proofErr w:type="spellEnd"/>
      <w:r w:rsidR="00F127A9">
        <w:t xml:space="preserve">” (Ellora); I </w:t>
      </w:r>
      <w:proofErr w:type="spellStart"/>
      <w:r w:rsidR="00F127A9">
        <w:t>ain’</w:t>
      </w:r>
      <w:r w:rsidR="009A1D9A">
        <w:t>t</w:t>
      </w:r>
      <w:proofErr w:type="spellEnd"/>
      <w:r w:rsidR="00F127A9">
        <w:t xml:space="preserve"> </w:t>
      </w:r>
      <w:r w:rsidR="009A1D9A">
        <w:t>found</w:t>
      </w:r>
      <w:r w:rsidR="00F127A9">
        <w:t xml:space="preserve"> them friends for life yet (Eva).</w:t>
      </w:r>
      <w:r w:rsidR="009A1D9A">
        <w:t xml:space="preserve">  These findings show that a general lack of understanding, or capitals, does not only affect WP students at elite </w:t>
      </w:r>
      <w:r w:rsidR="00FC4B81">
        <w:t>institutions</w:t>
      </w:r>
      <w:r w:rsidR="009A1D9A">
        <w:t xml:space="preserve"> as in Reay et al.’s (2009) study, but also affects those commencing degrees at post-1992 universities</w:t>
      </w:r>
      <w:r w:rsidR="00782CAC">
        <w:t>.</w:t>
      </w:r>
      <w:r w:rsidR="0039470C">
        <w:t xml:space="preserve">  However, students in this paper appeared to grasp that feel for the game more quickly than in Reay et al.’s (2009) research, mainly due to the establishment of peer groups.</w:t>
      </w:r>
    </w:p>
    <w:p w:rsidR="00782CAC" w:rsidRDefault="00991CB6" w:rsidP="00782CAC">
      <w:pPr>
        <w:pStyle w:val="Heading2"/>
      </w:pPr>
      <w:r>
        <w:t>P</w:t>
      </w:r>
      <w:r w:rsidR="00782CAC">
        <w:t>eer groups</w:t>
      </w:r>
      <w:r w:rsidR="0029490A">
        <w:t>: an antidote to early struggles</w:t>
      </w:r>
    </w:p>
    <w:p w:rsidR="00991CB6" w:rsidRDefault="00782CAC" w:rsidP="00782CAC">
      <w:pPr>
        <w:spacing w:after="120"/>
        <w:ind w:firstLine="227"/>
      </w:pPr>
      <w:proofErr w:type="spellStart"/>
      <w:r>
        <w:t>Southeastern</w:t>
      </w:r>
      <w:proofErr w:type="spellEnd"/>
      <w:r>
        <w:t xml:space="preserve"> students appeared to settle in faster than students in the Christie et al. (2016) study (based at an elite Scottish university).  </w:t>
      </w:r>
      <w:r w:rsidR="00DD7B5F">
        <w:t>Those researchers</w:t>
      </w:r>
      <w:r>
        <w:t xml:space="preserve"> noted a long process of developing certain academic skills </w:t>
      </w:r>
      <w:r w:rsidR="00DD7B5F">
        <w:t xml:space="preserve">over the course of the entire degree that eventually led those </w:t>
      </w:r>
      <w:proofErr w:type="gramStart"/>
      <w:r w:rsidR="00DD7B5F">
        <w:t>particular students</w:t>
      </w:r>
      <w:proofErr w:type="gramEnd"/>
      <w:r w:rsidR="00DD7B5F">
        <w:t xml:space="preserve"> to feel like accepted members of the academic community.  While </w:t>
      </w:r>
      <w:proofErr w:type="spellStart"/>
      <w:r w:rsidR="00DD7B5F">
        <w:t>Southeastern</w:t>
      </w:r>
      <w:proofErr w:type="spellEnd"/>
      <w:r w:rsidR="00DD7B5F">
        <w:t xml:space="preserve"> students did refer to new teaching and learning styles as being an obstacle to their transition, especially with regards to </w:t>
      </w:r>
      <w:proofErr w:type="gramStart"/>
      <w:r w:rsidR="00DD7B5F">
        <w:t>being</w:t>
      </w:r>
      <w:proofErr w:type="gramEnd"/>
      <w:r w:rsidR="00DD7B5F">
        <w:t xml:space="preserve"> an </w:t>
      </w:r>
      <w:r w:rsidR="00DD7B5F">
        <w:lastRenderedPageBreak/>
        <w:t xml:space="preserve">independent learner, they did not mention specific skills, such as essay writing or critical thinking, in the way Christie et al.’s students did.  </w:t>
      </w:r>
      <w:r w:rsidR="003B3B30">
        <w:t>However, v</w:t>
      </w:r>
      <w:r w:rsidR="00D0637A">
        <w:t>ariances</w:t>
      </w:r>
      <w:r w:rsidR="00970530">
        <w:t xml:space="preserve"> </w:t>
      </w:r>
      <w:r w:rsidR="003B3B30">
        <w:t xml:space="preserve">may also exist between </w:t>
      </w:r>
      <w:r w:rsidR="00D0637A">
        <w:t xml:space="preserve">English and Scottish HE </w:t>
      </w:r>
      <w:r w:rsidR="003B3B30">
        <w:t>that</w:t>
      </w:r>
      <w:r w:rsidR="00D0637A">
        <w:t xml:space="preserve"> contribute to the diverging transitional outcomes observed in Christie et al. and in this research.  For instance, differences in the fee regime</w:t>
      </w:r>
      <w:r w:rsidR="003B3B30">
        <w:t>s</w:t>
      </w:r>
      <w:r w:rsidR="00D0637A">
        <w:t xml:space="preserve"> of each system</w:t>
      </w:r>
      <w:r w:rsidR="003B3B30">
        <w:t>, such as tuition fees,</w:t>
      </w:r>
      <w:r w:rsidR="00D0637A">
        <w:t xml:space="preserve"> </w:t>
      </w:r>
      <w:r w:rsidR="003B3B30">
        <w:t>could</w:t>
      </w:r>
      <w:r w:rsidR="00D0637A">
        <w:t xml:space="preserve"> influence students’ decision to persist or withdraw.</w:t>
      </w:r>
    </w:p>
    <w:p w:rsidR="00344BA7" w:rsidRDefault="00344BA7" w:rsidP="00782CAC">
      <w:pPr>
        <w:spacing w:after="120"/>
        <w:ind w:firstLine="227"/>
      </w:pPr>
      <w:proofErr w:type="spellStart"/>
      <w:r>
        <w:t>Southeastern</w:t>
      </w:r>
      <w:proofErr w:type="spellEnd"/>
      <w:r>
        <w:t xml:space="preserve"> students appeared to enjoy similar experiences to the students in Leese’s (2010) research, which was also based at a post-1992 university. In both studies, university was different to what students expected.  Indeed, Leese similarly drew on Bourdieu and </w:t>
      </w:r>
      <w:proofErr w:type="spellStart"/>
      <w:r>
        <w:t>Passeron</w:t>
      </w:r>
      <w:proofErr w:type="spellEnd"/>
      <w:r>
        <w:t xml:space="preserve"> (1977) and connected a lack of capital with mismatched expectations.  However, </w:t>
      </w:r>
      <w:r w:rsidR="00062A0F">
        <w:t>students in Leese’s study appeared to prioritise getting to grips with new teaching and learning styles and presented that as the ma</w:t>
      </w:r>
      <w:r w:rsidR="00D0637A">
        <w:t xml:space="preserve">in obstacle to early success.  </w:t>
      </w:r>
      <w:r w:rsidR="00062A0F">
        <w:t xml:space="preserve">Additionally, they did not pinpoint any moment or </w:t>
      </w:r>
      <w:proofErr w:type="gramStart"/>
      <w:r w:rsidR="00062A0F">
        <w:t>particular support</w:t>
      </w:r>
      <w:proofErr w:type="gramEnd"/>
      <w:r w:rsidR="00062A0F">
        <w:t xml:space="preserve"> that smoothed out transition. </w:t>
      </w:r>
    </w:p>
    <w:p w:rsidR="00782CAC" w:rsidRDefault="00062A0F" w:rsidP="00782CAC">
      <w:pPr>
        <w:spacing w:after="120"/>
        <w:ind w:firstLine="227"/>
        <w:rPr>
          <w:color w:val="010101"/>
        </w:rPr>
      </w:pPr>
      <w:r>
        <w:t xml:space="preserve">Conversely, </w:t>
      </w:r>
      <w:proofErr w:type="spellStart"/>
      <w:r w:rsidR="00DD7B5F">
        <w:t>Southeastern</w:t>
      </w:r>
      <w:proofErr w:type="spellEnd"/>
      <w:r w:rsidR="00DD7B5F">
        <w:t xml:space="preserve"> students tended to consider developing social groups as an equal part of ensuring success.  In fact, the formation of peer groups appears to be </w:t>
      </w:r>
      <w:r w:rsidR="00DD7B5F" w:rsidRPr="00FC4B81">
        <w:rPr>
          <w:i/>
        </w:rPr>
        <w:t>the</w:t>
      </w:r>
      <w:r w:rsidR="00DD7B5F">
        <w:t xml:space="preserve"> critical point in </w:t>
      </w:r>
      <w:proofErr w:type="spellStart"/>
      <w:r w:rsidR="00DD7B5F">
        <w:t>Southeastern</w:t>
      </w:r>
      <w:proofErr w:type="spellEnd"/>
      <w:r w:rsidR="00DD7B5F">
        <w:t xml:space="preserve"> students</w:t>
      </w:r>
      <w:r w:rsidR="00FC4B81">
        <w:t>’ first year</w:t>
      </w:r>
      <w:r w:rsidR="00DC6548">
        <w:t xml:space="preserve">, supporting </w:t>
      </w:r>
      <w:r w:rsidR="00DC6548">
        <w:rPr>
          <w:lang w:val="en-US" w:eastAsia="en-US"/>
        </w:rPr>
        <w:t xml:space="preserve">Yorke and </w:t>
      </w:r>
      <w:proofErr w:type="spellStart"/>
      <w:r w:rsidR="00DC6548">
        <w:rPr>
          <w:lang w:val="en-US" w:eastAsia="en-US"/>
        </w:rPr>
        <w:t>Longden</w:t>
      </w:r>
      <w:proofErr w:type="spellEnd"/>
      <w:r w:rsidR="00DC6548">
        <w:rPr>
          <w:lang w:val="en-US" w:eastAsia="en-US"/>
        </w:rPr>
        <w:t xml:space="preserve"> (2007) and Wingate (2007) assertions of their importance</w:t>
      </w:r>
      <w:r w:rsidR="00FC4B81">
        <w:t>.</w:t>
      </w:r>
      <w:r w:rsidR="00DD7B5F">
        <w:t xml:space="preserve"> </w:t>
      </w:r>
      <w:r w:rsidR="00FC4B81">
        <w:t xml:space="preserve"> O</w:t>
      </w:r>
      <w:r w:rsidR="00DD7B5F">
        <w:t xml:space="preserve">nce established, academic success </w:t>
      </w:r>
      <w:r w:rsidR="00FC4B81">
        <w:t>flowed more easily and</w:t>
      </w:r>
      <w:r w:rsidR="00DD7B5F">
        <w:t xml:space="preserve"> anxietie</w:t>
      </w:r>
      <w:r w:rsidR="00FC4B81">
        <w:t>s about integration dissipated: “</w:t>
      </w:r>
      <w:r w:rsidR="00FC4B81" w:rsidRPr="00FC4B81">
        <w:rPr>
          <w:color w:val="010101"/>
        </w:rPr>
        <w:t xml:space="preserve">they can help you like feel more confident about the piece of work you’re struggling on” (Naomi); “I was sort of dealing with a lot on my own, suffering a lot […] but now I’ve found a solid group of friends […] and therefore I’m enjoying it more” (Dawn). </w:t>
      </w:r>
    </w:p>
    <w:p w:rsidR="00F127A9" w:rsidRPr="005114C4" w:rsidRDefault="00062A0F" w:rsidP="005114C4">
      <w:pPr>
        <w:spacing w:after="120"/>
        <w:ind w:firstLine="227"/>
      </w:pPr>
      <w:r>
        <w:rPr>
          <w:color w:val="010101"/>
        </w:rPr>
        <w:t xml:space="preserve">So, while Leese </w:t>
      </w:r>
      <w:r w:rsidR="0039470C">
        <w:rPr>
          <w:color w:val="010101"/>
        </w:rPr>
        <w:t xml:space="preserve">(2010) </w:t>
      </w:r>
      <w:r>
        <w:rPr>
          <w:color w:val="010101"/>
        </w:rPr>
        <w:t xml:space="preserve">suggests universities </w:t>
      </w:r>
      <w:proofErr w:type="gramStart"/>
      <w:r>
        <w:rPr>
          <w:color w:val="010101"/>
        </w:rPr>
        <w:t>take into account</w:t>
      </w:r>
      <w:proofErr w:type="gramEnd"/>
      <w:r>
        <w:rPr>
          <w:color w:val="010101"/>
        </w:rPr>
        <w:t xml:space="preserve"> the </w:t>
      </w:r>
      <w:r w:rsidR="00A6606E">
        <w:rPr>
          <w:color w:val="010101"/>
        </w:rPr>
        <w:t>embodied learning styles of their students as a strategy for ensuring positive transitions, this study goes one step further and places the onus on institutions to enhance opportunities for students to develop peer groups.</w:t>
      </w:r>
      <w:r w:rsidR="000638F8">
        <w:rPr>
          <w:color w:val="010101"/>
        </w:rPr>
        <w:t xml:space="preserve">  It is perhaps not a coincidence that the only student in </w:t>
      </w:r>
      <w:r w:rsidR="0039470C">
        <w:rPr>
          <w:color w:val="010101"/>
        </w:rPr>
        <w:t>the</w:t>
      </w:r>
      <w:r w:rsidR="000638F8">
        <w:rPr>
          <w:color w:val="010101"/>
        </w:rPr>
        <w:t xml:space="preserve"> sample who reported that her course made this additional effort (Kiki and her Law course) </w:t>
      </w:r>
      <w:r w:rsidR="00DC6548">
        <w:rPr>
          <w:color w:val="010101"/>
        </w:rPr>
        <w:t xml:space="preserve">is </w:t>
      </w:r>
      <w:r w:rsidR="000638F8">
        <w:rPr>
          <w:color w:val="010101"/>
        </w:rPr>
        <w:t>also a strong proponent of the importance of peer groups: “</w:t>
      </w:r>
      <w:r w:rsidR="000638F8" w:rsidRPr="000638F8">
        <w:rPr>
          <w:color w:val="010101"/>
        </w:rPr>
        <w:t xml:space="preserve">the best way to ensure […] a good smooth transition is to </w:t>
      </w:r>
      <w:r w:rsidR="000638F8">
        <w:rPr>
          <w:color w:val="010101"/>
        </w:rPr>
        <w:t>have a good group of friends</w:t>
      </w:r>
      <w:r w:rsidR="000638F8" w:rsidRPr="000638F8">
        <w:rPr>
          <w:color w:val="010101"/>
        </w:rPr>
        <w:t>”</w:t>
      </w:r>
      <w:r w:rsidR="000638F8">
        <w:rPr>
          <w:color w:val="010101"/>
        </w:rPr>
        <w:t>.</w:t>
      </w:r>
      <w:r w:rsidR="000638F8" w:rsidRPr="00E7123C">
        <w:rPr>
          <w:color w:val="010101"/>
          <w:sz w:val="22"/>
        </w:rPr>
        <w:t xml:space="preserve"> </w:t>
      </w:r>
    </w:p>
    <w:p w:rsidR="00911A6E" w:rsidRPr="00803C19" w:rsidRDefault="00911A6E" w:rsidP="00911A6E">
      <w:pPr>
        <w:spacing w:after="120"/>
        <w:ind w:firstLine="227"/>
        <w:rPr>
          <w:iCs/>
        </w:rPr>
      </w:pPr>
    </w:p>
    <w:p w:rsidR="00911A6E" w:rsidRDefault="00911A6E" w:rsidP="00911A6E">
      <w:pPr>
        <w:pStyle w:val="Heading1"/>
      </w:pPr>
      <w:r>
        <w:t>Conclusion</w:t>
      </w:r>
    </w:p>
    <w:p w:rsidR="00911A6E" w:rsidRPr="00E7123C" w:rsidRDefault="00911A6E" w:rsidP="00911A6E">
      <w:pPr>
        <w:spacing w:after="120"/>
        <w:ind w:firstLine="227"/>
      </w:pPr>
      <w:r w:rsidRPr="00E7123C">
        <w:t xml:space="preserve">This </w:t>
      </w:r>
      <w:r w:rsidR="000D6DE8">
        <w:t>paper</w:t>
      </w:r>
      <w:r w:rsidR="000D6DE8" w:rsidRPr="00E7123C">
        <w:t xml:space="preserve"> </w:t>
      </w:r>
      <w:r w:rsidR="000D6DE8">
        <w:t xml:space="preserve">suggests that while research into </w:t>
      </w:r>
      <w:r w:rsidR="0029490A">
        <w:t>HE</w:t>
      </w:r>
      <w:r w:rsidR="000D6DE8">
        <w:t xml:space="preserve"> transitions is not necessarily lacking, there is still much to be gained from </w:t>
      </w:r>
      <w:r w:rsidR="00A74E3E">
        <w:t>researching</w:t>
      </w:r>
      <w:r w:rsidR="000D6DE8">
        <w:t xml:space="preserve"> potentially vulnerable groups, such as WP students, and conducting case studies with outputs capable of influencing institutional practices.  </w:t>
      </w:r>
      <w:r w:rsidRPr="00E7123C">
        <w:t>An innovative art</w:t>
      </w:r>
      <w:r w:rsidR="000E3658">
        <w:t>ful inquiry</w:t>
      </w:r>
      <w:r w:rsidRPr="00E7123C">
        <w:t xml:space="preserve"> collage methodology affords participants with a unique opportunity to tap into and visually represent experiences and emotions.  They found by making collages “you can see images that actually relate to what you think, it gives a bit of a deeper meaning” (Ellora on collage-making).</w:t>
      </w:r>
      <w:r w:rsidRPr="00E7123C">
        <w:rPr>
          <w:sz w:val="28"/>
        </w:rPr>
        <w:t xml:space="preserve">  </w:t>
      </w:r>
      <w:r w:rsidRPr="00E7123C">
        <w:t xml:space="preserve">The success of this method at extracting experiences, eliciting rich discussions and providing participants with a reflexive outlet suggests </w:t>
      </w:r>
      <w:r w:rsidR="000E3658">
        <w:t>that</w:t>
      </w:r>
      <w:r w:rsidR="00A74E3E">
        <w:t>, much as the literature promotes (Diaz, 2002; Butler-</w:t>
      </w:r>
      <w:proofErr w:type="spellStart"/>
      <w:r w:rsidR="00A74E3E">
        <w:t>Kisber</w:t>
      </w:r>
      <w:proofErr w:type="spellEnd"/>
      <w:r w:rsidR="00A74E3E">
        <w:t>, 2008; Butler-</w:t>
      </w:r>
      <w:proofErr w:type="spellStart"/>
      <w:r w:rsidR="00A74E3E">
        <w:t>Kisber</w:t>
      </w:r>
      <w:proofErr w:type="spellEnd"/>
      <w:r w:rsidR="00A74E3E">
        <w:t xml:space="preserve"> and </w:t>
      </w:r>
      <w:proofErr w:type="spellStart"/>
      <w:r w:rsidR="00A74E3E">
        <w:t>Poldma</w:t>
      </w:r>
      <w:proofErr w:type="spellEnd"/>
      <w:r w:rsidR="00A74E3E">
        <w:t>, 2009; Davis, 2008)</w:t>
      </w:r>
      <w:r w:rsidR="000E3658">
        <w:t xml:space="preserve"> there is a role for this type of research within </w:t>
      </w:r>
      <w:r w:rsidRPr="00E7123C">
        <w:t xml:space="preserve">educational </w:t>
      </w:r>
      <w:r w:rsidR="000E3658">
        <w:t>contexts, which was one of the main questions stated at the start of this paper.</w:t>
      </w:r>
    </w:p>
    <w:p w:rsidR="006126FF" w:rsidRPr="00E7123C" w:rsidRDefault="0077682C" w:rsidP="00911A6E">
      <w:pPr>
        <w:spacing w:after="120"/>
        <w:ind w:firstLine="227"/>
      </w:pPr>
      <w:r>
        <w:lastRenderedPageBreak/>
        <w:t xml:space="preserve">The findings confirmed that as in other studies, WP students at </w:t>
      </w:r>
      <w:proofErr w:type="spellStart"/>
      <w:r>
        <w:t>Southeastern</w:t>
      </w:r>
      <w:proofErr w:type="spellEnd"/>
      <w:r>
        <w:t xml:space="preserve"> encountered difficult transitions, citing both a slow adaptation to independent learning and a lack of social groups, both of which are evidence of a mismatch between expectations, embodied capitals, an awareness of HE and their university environment.</w:t>
      </w:r>
      <w:r w:rsidR="000C0B99">
        <w:t xml:space="preserve">  The turning pointing </w:t>
      </w:r>
      <w:r w:rsidR="00AB0B9A">
        <w:t xml:space="preserve">in </w:t>
      </w:r>
      <w:r w:rsidR="000C0B99">
        <w:t xml:space="preserve">their first year seemed </w:t>
      </w:r>
      <w:r w:rsidR="00AB0B9A">
        <w:t xml:space="preserve">to </w:t>
      </w:r>
      <w:r w:rsidR="000C0B99">
        <w:t xml:space="preserve">revolve around the formation of peer groups.  In the same way that participants in Christie et al.’s (2016) study </w:t>
      </w:r>
      <w:r w:rsidR="008F004E">
        <w:t>confirmed it all “clicked” (p. 478) once certain skills were acquired, students in this research indicated a similar immediacy in feeling less stressed and anxious, while gaining more confidence both academically and socially.</w:t>
      </w:r>
      <w:r w:rsidR="00AB0B9A">
        <w:t xml:space="preserve">  It may be that as Yorke and </w:t>
      </w:r>
      <w:proofErr w:type="spellStart"/>
      <w:r w:rsidR="00AB0B9A">
        <w:t>Longden</w:t>
      </w:r>
      <w:proofErr w:type="spellEnd"/>
      <w:r w:rsidR="00AB0B9A">
        <w:t xml:space="preserve"> (2007) state, forming peer groups is particularly important for post-1992 institutions, which might differ from other types, including research-intensive HEIs. </w:t>
      </w:r>
      <w:r w:rsidR="0029490A">
        <w:t xml:space="preserve">Higher levels of withdrawal for WP students at post-1992 institutions </w:t>
      </w:r>
      <w:proofErr w:type="gramStart"/>
      <w:r w:rsidR="0029490A">
        <w:t>suggests</w:t>
      </w:r>
      <w:proofErr w:type="gramEnd"/>
      <w:r w:rsidR="0029490A">
        <w:t xml:space="preserve"> that, unlike the students in Christie et al.’s (2016) study, they do not have the luxury of settling into university over the course of their degree—initial struggles may be sufficient to force an early exit from HE.  Therefore, in line w</w:t>
      </w:r>
      <w:r w:rsidR="00AB59A6">
        <w:t xml:space="preserve">ith the stated aim of this </w:t>
      </w:r>
      <w:proofErr w:type="spellStart"/>
      <w:r w:rsidR="00AB59A6">
        <w:t>EdD</w:t>
      </w:r>
      <w:proofErr w:type="spellEnd"/>
      <w:r w:rsidR="00AB59A6">
        <w:t xml:space="preserve"> to provide practical recommendations, </w:t>
      </w:r>
      <w:r w:rsidR="006E14D6">
        <w:t>this paper direct</w:t>
      </w:r>
      <w:r w:rsidR="0029490A">
        <w:t>ly recommends to</w:t>
      </w:r>
      <w:r w:rsidR="006E14D6">
        <w:t xml:space="preserve"> </w:t>
      </w:r>
      <w:proofErr w:type="spellStart"/>
      <w:r w:rsidR="006E14D6">
        <w:t>Southeastern’s</w:t>
      </w:r>
      <w:proofErr w:type="spellEnd"/>
      <w:r w:rsidR="006E14D6">
        <w:t xml:space="preserve"> senior leadership </w:t>
      </w:r>
      <w:r w:rsidR="0029490A">
        <w:t xml:space="preserve">that </w:t>
      </w:r>
      <w:r w:rsidR="00911A6E" w:rsidRPr="00E7123C">
        <w:t>induction periods</w:t>
      </w:r>
      <w:r w:rsidR="0029490A">
        <w:t xml:space="preserve"> be reviewed</w:t>
      </w:r>
      <w:r w:rsidR="00911A6E" w:rsidRPr="00E7123C">
        <w:t xml:space="preserve"> </w:t>
      </w:r>
      <w:r w:rsidR="006E14D6">
        <w:t>and</w:t>
      </w:r>
      <w:r w:rsidR="00911A6E" w:rsidRPr="00E7123C">
        <w:t xml:space="preserve"> include more provision for setting up peer links, much as some courses </w:t>
      </w:r>
      <w:r w:rsidR="006E14D6">
        <w:t>(Law)</w:t>
      </w:r>
      <w:r w:rsidR="00911A6E" w:rsidRPr="00E7123C">
        <w:t xml:space="preserve"> seem to already be achieving.  </w:t>
      </w:r>
      <w:r w:rsidR="003B3B30">
        <w:t>Although b</w:t>
      </w:r>
      <w:r w:rsidR="006E14D6">
        <w:t>oth Christie et al. (2016) and Leese (2010) called for a similar assessment of practices and investment in resources into suppo</w:t>
      </w:r>
      <w:r w:rsidR="003B3B30">
        <w:t>rt that may benefit WP students, it should be noted that many</w:t>
      </w:r>
      <w:r w:rsidR="005D4644">
        <w:t xml:space="preserve"> aspects of HE and individuals’ background</w:t>
      </w:r>
      <w:r w:rsidR="003B3B30">
        <w:t xml:space="preserve"> contribute to students’ induction experience.</w:t>
      </w:r>
      <w:r w:rsidR="005D4644">
        <w:t xml:space="preserve">  However, reviewing induction periods for all students, with the outcomes of this research in mind, could lead to new provision that benefits WP students as much as their peers.</w:t>
      </w:r>
    </w:p>
    <w:p w:rsidR="00911A6E" w:rsidRPr="00803C19" w:rsidRDefault="00911A6E" w:rsidP="00911A6E">
      <w:pPr>
        <w:ind w:firstLine="227"/>
      </w:pPr>
      <w:r w:rsidRPr="00E7123C">
        <w:t>This study has by no means exhausted all avenues for ways of conducting research into student experience.  Analytically, other opportunities for deepening the study might present themselves around personal characteristics, such as gender, ethnicity or even academic subject.  Due to the scope of the doctorate, it is limited to the first year of these students’ university lives.  Other researchers may integrate subsequent years of study, which could deepen understandings of experiences and behaviour in students’ first year</w:t>
      </w:r>
      <w:r w:rsidR="0029490A">
        <w:t>, such as Christie et al.’s study (2016)</w:t>
      </w:r>
      <w:r w:rsidRPr="00E7123C">
        <w:t>.  It is also acknowledged that other modes of inquiry, either art-based or more traditional, might provoke different responses from participants.  So, while collage may have shed fresh perspectives on student experiences, other methods might be just as suitable.</w:t>
      </w:r>
      <w:bookmarkEnd w:id="4"/>
      <w:r w:rsidRPr="00E7123C">
        <w:t xml:space="preserve">  </w:t>
      </w:r>
    </w:p>
    <w:p w:rsidR="00911A6E" w:rsidRDefault="00911A6E" w:rsidP="00911A6E">
      <w:pPr>
        <w:pStyle w:val="References"/>
      </w:pPr>
    </w:p>
    <w:p w:rsidR="00461973" w:rsidRPr="006F7911" w:rsidRDefault="00911A6E" w:rsidP="00461973">
      <w:pPr>
        <w:pStyle w:val="Heading1"/>
      </w:pPr>
      <w:r>
        <w:br w:type="page"/>
      </w:r>
      <w:r w:rsidR="00461973">
        <w:lastRenderedPageBreak/>
        <w:t>References</w:t>
      </w:r>
    </w:p>
    <w:p w:rsidR="00FD2103" w:rsidRPr="00A06E36" w:rsidRDefault="00FD2103" w:rsidP="00FD2103">
      <w:pPr>
        <w:pStyle w:val="NoSpacing"/>
        <w:spacing w:before="100" w:beforeAutospacing="1" w:after="100" w:afterAutospacing="1"/>
        <w:ind w:hanging="454"/>
        <w:rPr>
          <w:rFonts w:ascii="Times New Roman" w:hAnsi="Times New Roman"/>
          <w:color w:val="000000"/>
        </w:rPr>
      </w:pPr>
      <w:r w:rsidRPr="00A06E36">
        <w:rPr>
          <w:rFonts w:ascii="Times New Roman" w:hAnsi="Times New Roman"/>
          <w:color w:val="000000"/>
        </w:rPr>
        <w:t xml:space="preserve">Archer, L. (2007). “Diversity, equality and higher education: a critical reflection on the ab/uses of equity discourse within widening participation”. </w:t>
      </w:r>
      <w:r w:rsidRPr="00A06E36">
        <w:rPr>
          <w:rFonts w:ascii="Times New Roman" w:hAnsi="Times New Roman"/>
          <w:i/>
          <w:color w:val="000000"/>
        </w:rPr>
        <w:t>Teaching in Higher Education</w:t>
      </w:r>
      <w:r w:rsidRPr="00A06E36">
        <w:rPr>
          <w:rFonts w:ascii="Times New Roman" w:hAnsi="Times New Roman"/>
          <w:color w:val="000000"/>
        </w:rPr>
        <w:t>, 12, 5-6: 635-53.</w:t>
      </w:r>
    </w:p>
    <w:p w:rsidR="00461973" w:rsidRPr="00A06E36" w:rsidRDefault="00FD2103" w:rsidP="00FD2103">
      <w:pPr>
        <w:spacing w:before="100" w:beforeAutospacing="1" w:after="100" w:afterAutospacing="1"/>
        <w:ind w:hanging="454"/>
        <w:rPr>
          <w:color w:val="000000"/>
          <w:sz w:val="22"/>
          <w:szCs w:val="22"/>
        </w:rPr>
      </w:pPr>
      <w:r w:rsidRPr="00A06E36">
        <w:rPr>
          <w:color w:val="000000"/>
          <w:sz w:val="22"/>
          <w:szCs w:val="22"/>
        </w:rPr>
        <w:t xml:space="preserve">Barry, D. (1996). ‘Artful Inquiry: A Symbolic Constructivist Approach to Social Science Research’. </w:t>
      </w:r>
      <w:r w:rsidRPr="00A06E36">
        <w:rPr>
          <w:i/>
          <w:color w:val="000000"/>
          <w:sz w:val="22"/>
          <w:szCs w:val="22"/>
        </w:rPr>
        <w:t>Qualitative Inquiry</w:t>
      </w:r>
      <w:r w:rsidRPr="00A06E36">
        <w:rPr>
          <w:color w:val="000000"/>
          <w:sz w:val="22"/>
          <w:szCs w:val="22"/>
        </w:rPr>
        <w:t>, 2, 4: 411-438.</w:t>
      </w:r>
    </w:p>
    <w:p w:rsidR="00461973" w:rsidRPr="00A06E36" w:rsidRDefault="00461973" w:rsidP="00FD2103">
      <w:pPr>
        <w:spacing w:before="100" w:beforeAutospacing="1" w:after="100" w:afterAutospacing="1"/>
        <w:ind w:hanging="454"/>
        <w:rPr>
          <w:sz w:val="22"/>
          <w:szCs w:val="22"/>
        </w:rPr>
      </w:pPr>
      <w:r w:rsidRPr="00A06E36">
        <w:rPr>
          <w:sz w:val="22"/>
          <w:szCs w:val="22"/>
        </w:rPr>
        <w:t xml:space="preserve">Bourdieu, P. (1977). </w:t>
      </w:r>
      <w:r w:rsidRPr="00A06E36">
        <w:rPr>
          <w:i/>
          <w:sz w:val="22"/>
          <w:szCs w:val="22"/>
        </w:rPr>
        <w:t xml:space="preserve">Outline of a Theory </w:t>
      </w:r>
      <w:proofErr w:type="spellStart"/>
      <w:proofErr w:type="gramStart"/>
      <w:r w:rsidRPr="00A06E36">
        <w:rPr>
          <w:i/>
          <w:sz w:val="22"/>
          <w:szCs w:val="22"/>
        </w:rPr>
        <w:t>o</w:t>
      </w:r>
      <w:proofErr w:type="spellEnd"/>
      <w:proofErr w:type="gramEnd"/>
      <w:r w:rsidRPr="00A06E36">
        <w:rPr>
          <w:i/>
          <w:sz w:val="22"/>
          <w:szCs w:val="22"/>
        </w:rPr>
        <w:t xml:space="preserve"> Practice</w:t>
      </w:r>
      <w:r w:rsidRPr="00A06E36">
        <w:rPr>
          <w:sz w:val="22"/>
          <w:szCs w:val="22"/>
        </w:rPr>
        <w:t>. Cambridge University Press.</w:t>
      </w:r>
    </w:p>
    <w:p w:rsidR="00461973" w:rsidRPr="00A06E36" w:rsidRDefault="00461973" w:rsidP="00FD2103">
      <w:pPr>
        <w:spacing w:before="100" w:beforeAutospacing="1" w:after="100" w:afterAutospacing="1"/>
        <w:ind w:hanging="454"/>
        <w:rPr>
          <w:sz w:val="22"/>
          <w:szCs w:val="22"/>
        </w:rPr>
      </w:pPr>
      <w:r w:rsidRPr="00A06E36">
        <w:rPr>
          <w:sz w:val="22"/>
          <w:szCs w:val="22"/>
        </w:rPr>
        <w:t xml:space="preserve">Bourdieu, P. (1984). </w:t>
      </w:r>
      <w:r w:rsidRPr="00A06E36">
        <w:rPr>
          <w:i/>
          <w:sz w:val="22"/>
          <w:szCs w:val="22"/>
        </w:rPr>
        <w:t>Distinction: A Social Critique of the Judgement of Taste</w:t>
      </w:r>
      <w:r w:rsidRPr="00A06E36">
        <w:rPr>
          <w:sz w:val="22"/>
          <w:szCs w:val="22"/>
        </w:rPr>
        <w:t>. London: Routledge.</w:t>
      </w:r>
    </w:p>
    <w:p w:rsidR="00461973" w:rsidRPr="00A06E36" w:rsidRDefault="00461973" w:rsidP="00FD2103">
      <w:pPr>
        <w:spacing w:before="100" w:beforeAutospacing="1" w:after="100" w:afterAutospacing="1"/>
        <w:ind w:hanging="454"/>
        <w:rPr>
          <w:sz w:val="22"/>
          <w:szCs w:val="22"/>
        </w:rPr>
      </w:pPr>
      <w:r w:rsidRPr="00A06E36">
        <w:rPr>
          <w:sz w:val="22"/>
          <w:szCs w:val="22"/>
        </w:rPr>
        <w:t xml:space="preserve">Bourdieu, P. (1986). “The forms of capital”, in J. Richardson, ed. </w:t>
      </w:r>
      <w:r w:rsidRPr="00A06E36">
        <w:rPr>
          <w:i/>
          <w:sz w:val="22"/>
          <w:szCs w:val="22"/>
        </w:rPr>
        <w:t>Handbook of theory and research for the sociology of education</w:t>
      </w:r>
      <w:r w:rsidRPr="00A06E36">
        <w:rPr>
          <w:sz w:val="22"/>
          <w:szCs w:val="22"/>
        </w:rPr>
        <w:t>. Westport, CT: Greenwood. 241-258.</w:t>
      </w:r>
    </w:p>
    <w:p w:rsidR="00461973" w:rsidRPr="00A06E36" w:rsidRDefault="00461973" w:rsidP="00FD2103">
      <w:pPr>
        <w:spacing w:before="100" w:beforeAutospacing="1" w:after="100" w:afterAutospacing="1"/>
        <w:ind w:hanging="454"/>
        <w:rPr>
          <w:rFonts w:eastAsia="Calibri"/>
          <w:sz w:val="22"/>
          <w:szCs w:val="22"/>
          <w:lang w:eastAsia="en-US"/>
        </w:rPr>
      </w:pPr>
      <w:r w:rsidRPr="00A06E36">
        <w:rPr>
          <w:sz w:val="22"/>
          <w:szCs w:val="22"/>
        </w:rPr>
        <w:t xml:space="preserve">Bourdieu, P. (1990). </w:t>
      </w:r>
      <w:r w:rsidRPr="00A06E36">
        <w:rPr>
          <w:i/>
          <w:sz w:val="22"/>
          <w:szCs w:val="22"/>
        </w:rPr>
        <w:t>The Logic of Practice</w:t>
      </w:r>
      <w:r w:rsidRPr="00A06E36">
        <w:rPr>
          <w:sz w:val="22"/>
          <w:szCs w:val="22"/>
        </w:rPr>
        <w:t>. Cambridge: Polity Press.</w:t>
      </w:r>
    </w:p>
    <w:p w:rsidR="00461973" w:rsidRPr="00A06E36" w:rsidRDefault="00461973" w:rsidP="00FD2103">
      <w:pPr>
        <w:pStyle w:val="Default"/>
        <w:spacing w:before="100" w:beforeAutospacing="1" w:after="100" w:afterAutospacing="1"/>
        <w:ind w:hanging="454"/>
        <w:rPr>
          <w:sz w:val="22"/>
          <w:szCs w:val="22"/>
        </w:rPr>
      </w:pPr>
      <w:r w:rsidRPr="00A06E36">
        <w:rPr>
          <w:rFonts w:ascii="Times New Roman" w:eastAsia="Calibri" w:hAnsi="Times New Roman" w:cs="Times New Roman"/>
          <w:sz w:val="22"/>
          <w:szCs w:val="22"/>
          <w:lang w:eastAsia="en-US"/>
        </w:rPr>
        <w:t xml:space="preserve">Bourdieu, P. and </w:t>
      </w:r>
      <w:proofErr w:type="spellStart"/>
      <w:r w:rsidRPr="00A06E36">
        <w:rPr>
          <w:rFonts w:ascii="Times New Roman" w:eastAsia="Calibri" w:hAnsi="Times New Roman" w:cs="Times New Roman"/>
          <w:sz w:val="22"/>
          <w:szCs w:val="22"/>
          <w:lang w:eastAsia="en-US"/>
        </w:rPr>
        <w:t>Passeron</w:t>
      </w:r>
      <w:proofErr w:type="spellEnd"/>
      <w:r w:rsidRPr="00A06E36">
        <w:rPr>
          <w:rFonts w:ascii="Times New Roman" w:eastAsia="Calibri" w:hAnsi="Times New Roman" w:cs="Times New Roman"/>
          <w:sz w:val="22"/>
          <w:szCs w:val="22"/>
          <w:lang w:eastAsia="en-US"/>
        </w:rPr>
        <w:t xml:space="preserve">, J.-C. (1977). </w:t>
      </w:r>
      <w:r w:rsidRPr="00A06E36">
        <w:rPr>
          <w:rFonts w:ascii="Times New Roman" w:eastAsia="Calibri" w:hAnsi="Times New Roman" w:cs="Times New Roman"/>
          <w:i/>
          <w:sz w:val="22"/>
          <w:szCs w:val="22"/>
          <w:lang w:eastAsia="en-US"/>
        </w:rPr>
        <w:t>Reproduction in Education, Society and Culture</w:t>
      </w:r>
      <w:r w:rsidRPr="00A06E36">
        <w:rPr>
          <w:rFonts w:ascii="Times New Roman" w:eastAsia="Calibri" w:hAnsi="Times New Roman" w:cs="Times New Roman"/>
          <w:sz w:val="22"/>
          <w:szCs w:val="22"/>
          <w:lang w:eastAsia="en-US"/>
        </w:rPr>
        <w:t>. London: Sage.</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Butler-</w:t>
      </w:r>
      <w:proofErr w:type="spellStart"/>
      <w:r w:rsidRPr="00A06E36">
        <w:rPr>
          <w:color w:val="000000"/>
          <w:sz w:val="22"/>
          <w:szCs w:val="22"/>
        </w:rPr>
        <w:t>Kisber</w:t>
      </w:r>
      <w:proofErr w:type="spellEnd"/>
      <w:r w:rsidRPr="00A06E36">
        <w:rPr>
          <w:color w:val="000000"/>
          <w:sz w:val="22"/>
          <w:szCs w:val="22"/>
        </w:rPr>
        <w:t xml:space="preserve">, L. (2008). ‘Collage as Inquiry’, in J. G. Knowles and A. L. Cole (eds.), </w:t>
      </w:r>
      <w:r w:rsidRPr="00A06E36">
        <w:rPr>
          <w:i/>
          <w:color w:val="000000"/>
          <w:sz w:val="22"/>
          <w:szCs w:val="22"/>
        </w:rPr>
        <w:t>Handbook of the Arts in Qualitative Research</w:t>
      </w:r>
      <w:r w:rsidRPr="00A06E36">
        <w:rPr>
          <w:color w:val="000000"/>
          <w:sz w:val="22"/>
          <w:szCs w:val="22"/>
        </w:rPr>
        <w:t>. London: Sage.</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Butler-</w:t>
      </w:r>
      <w:proofErr w:type="spellStart"/>
      <w:r w:rsidRPr="00A06E36">
        <w:rPr>
          <w:color w:val="000000"/>
          <w:sz w:val="22"/>
          <w:szCs w:val="22"/>
        </w:rPr>
        <w:t>Kisber</w:t>
      </w:r>
      <w:proofErr w:type="spellEnd"/>
      <w:r w:rsidRPr="00A06E36">
        <w:rPr>
          <w:color w:val="000000"/>
          <w:sz w:val="22"/>
          <w:szCs w:val="22"/>
        </w:rPr>
        <w:t xml:space="preserve">, L. (2010) </w:t>
      </w:r>
      <w:r w:rsidRPr="00A06E36">
        <w:rPr>
          <w:i/>
          <w:iCs/>
          <w:color w:val="000000"/>
          <w:sz w:val="22"/>
          <w:szCs w:val="22"/>
        </w:rPr>
        <w:t>Qualitative Inquiry: Thematic, Narrative and Arts-Informed Perspectives</w:t>
      </w:r>
      <w:r w:rsidRPr="00A06E36">
        <w:rPr>
          <w:color w:val="000000"/>
          <w:sz w:val="22"/>
          <w:szCs w:val="22"/>
        </w:rPr>
        <w:t>, London: Sage.</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Butler-</w:t>
      </w:r>
      <w:proofErr w:type="spellStart"/>
      <w:r w:rsidRPr="00A06E36">
        <w:rPr>
          <w:color w:val="000000"/>
          <w:sz w:val="22"/>
          <w:szCs w:val="22"/>
        </w:rPr>
        <w:t>Kisber</w:t>
      </w:r>
      <w:proofErr w:type="spellEnd"/>
      <w:r w:rsidRPr="00A06E36">
        <w:rPr>
          <w:color w:val="000000"/>
          <w:sz w:val="22"/>
          <w:szCs w:val="22"/>
        </w:rPr>
        <w:t xml:space="preserve">, L. and </w:t>
      </w:r>
      <w:proofErr w:type="spellStart"/>
      <w:r w:rsidRPr="00A06E36">
        <w:rPr>
          <w:color w:val="000000"/>
          <w:sz w:val="22"/>
          <w:szCs w:val="22"/>
        </w:rPr>
        <w:t>Poldma</w:t>
      </w:r>
      <w:proofErr w:type="spellEnd"/>
      <w:r w:rsidRPr="00A06E36">
        <w:rPr>
          <w:color w:val="000000"/>
          <w:sz w:val="22"/>
          <w:szCs w:val="22"/>
        </w:rPr>
        <w:t xml:space="preserve">, T. (2009). ‘The power of visual approaches in qualitative inquiry: The use of collage making and concept mapping in experiential research’. </w:t>
      </w:r>
      <w:r w:rsidRPr="00A06E36">
        <w:rPr>
          <w:i/>
          <w:color w:val="000000"/>
          <w:sz w:val="22"/>
          <w:szCs w:val="22"/>
        </w:rPr>
        <w:t>Experiential Knowledge, Method and Methodology</w:t>
      </w:r>
      <w:r w:rsidRPr="00A06E36">
        <w:rPr>
          <w:color w:val="000000"/>
          <w:sz w:val="22"/>
          <w:szCs w:val="22"/>
        </w:rPr>
        <w:t>.</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Christie, H., </w:t>
      </w:r>
      <w:proofErr w:type="spellStart"/>
      <w:r w:rsidRPr="00A06E36">
        <w:rPr>
          <w:color w:val="000000"/>
          <w:sz w:val="22"/>
          <w:szCs w:val="22"/>
        </w:rPr>
        <w:t>Tett</w:t>
      </w:r>
      <w:proofErr w:type="spellEnd"/>
      <w:r w:rsidRPr="00A06E36">
        <w:rPr>
          <w:color w:val="000000"/>
          <w:sz w:val="22"/>
          <w:szCs w:val="22"/>
        </w:rPr>
        <w:t xml:space="preserve">, L., Cree, V. E. and McCune, V. (2016). “’It all just clicked’: a longitudinal perspective on transitions within university”. </w:t>
      </w:r>
      <w:r w:rsidRPr="00A06E36">
        <w:rPr>
          <w:i/>
          <w:color w:val="000000"/>
          <w:sz w:val="22"/>
          <w:szCs w:val="22"/>
        </w:rPr>
        <w:t>Studies in Higher Education</w:t>
      </w:r>
      <w:r w:rsidRPr="00A06E36">
        <w:rPr>
          <w:color w:val="000000"/>
          <w:sz w:val="22"/>
          <w:szCs w:val="22"/>
        </w:rPr>
        <w:t>, 41, 3: 478-490.</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Connolly, P. and Neill, J. (2001). ‘Constructions of locality and gender and their impact on the educational aspirations of working-class children’. </w:t>
      </w:r>
      <w:r w:rsidRPr="00A06E36">
        <w:rPr>
          <w:i/>
          <w:color w:val="000000"/>
          <w:sz w:val="22"/>
          <w:szCs w:val="22"/>
        </w:rPr>
        <w:t>International Studies in Sociology of Education</w:t>
      </w:r>
      <w:r w:rsidRPr="00A06E36">
        <w:rPr>
          <w:color w:val="000000"/>
          <w:sz w:val="22"/>
          <w:szCs w:val="22"/>
        </w:rPr>
        <w:t>. 11, 2: 107-130.</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Creswell, J. (2003). </w:t>
      </w:r>
      <w:r w:rsidRPr="00A06E36">
        <w:rPr>
          <w:i/>
          <w:color w:val="000000"/>
          <w:sz w:val="22"/>
          <w:szCs w:val="22"/>
        </w:rPr>
        <w:t>Research Design: Qualitative, Quantitative and Mixed Methods Approaches</w:t>
      </w:r>
      <w:r w:rsidRPr="00A06E36">
        <w:rPr>
          <w:color w:val="000000"/>
          <w:sz w:val="22"/>
          <w:szCs w:val="22"/>
        </w:rPr>
        <w:t>. London: Sage.</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Davis, D. (2008). ‘Collage inquiry: Creative and particular applications’. </w:t>
      </w:r>
      <w:proofErr w:type="spellStart"/>
      <w:r w:rsidRPr="00A06E36">
        <w:rPr>
          <w:i/>
          <w:color w:val="000000"/>
          <w:sz w:val="22"/>
          <w:szCs w:val="22"/>
        </w:rPr>
        <w:t>LEARNing</w:t>
      </w:r>
      <w:proofErr w:type="spellEnd"/>
      <w:r w:rsidRPr="00A06E36">
        <w:rPr>
          <w:i/>
          <w:color w:val="000000"/>
          <w:sz w:val="22"/>
          <w:szCs w:val="22"/>
        </w:rPr>
        <w:t xml:space="preserve"> Landscapes</w:t>
      </w:r>
      <w:r w:rsidRPr="00A06E36">
        <w:rPr>
          <w:color w:val="000000"/>
          <w:sz w:val="22"/>
          <w:szCs w:val="22"/>
        </w:rPr>
        <w:t>. 2(1), 245-265.</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Diaz, G. (2002). ‘Artistic inquiry: On Lighthouse Hill’, in C. Bagley and M.B. </w:t>
      </w:r>
      <w:proofErr w:type="spellStart"/>
      <w:r w:rsidRPr="00A06E36">
        <w:rPr>
          <w:color w:val="000000"/>
          <w:sz w:val="22"/>
          <w:szCs w:val="22"/>
        </w:rPr>
        <w:t>Cancienne</w:t>
      </w:r>
      <w:proofErr w:type="spellEnd"/>
      <w:r w:rsidRPr="00A06E36">
        <w:rPr>
          <w:color w:val="000000"/>
          <w:sz w:val="22"/>
          <w:szCs w:val="22"/>
        </w:rPr>
        <w:t xml:space="preserve"> (eds.), </w:t>
      </w:r>
      <w:r w:rsidRPr="00A06E36">
        <w:rPr>
          <w:i/>
          <w:color w:val="000000"/>
          <w:sz w:val="22"/>
          <w:szCs w:val="22"/>
        </w:rPr>
        <w:t>Dancing the data</w:t>
      </w:r>
      <w:r w:rsidRPr="00A06E36">
        <w:rPr>
          <w:color w:val="000000"/>
          <w:sz w:val="22"/>
          <w:szCs w:val="22"/>
        </w:rPr>
        <w:t>. New York: Peter Lang.</w:t>
      </w:r>
    </w:p>
    <w:p w:rsidR="00461973" w:rsidRPr="00A06E36" w:rsidRDefault="00461973" w:rsidP="00FD2103">
      <w:pPr>
        <w:autoSpaceDE w:val="0"/>
        <w:autoSpaceDN w:val="0"/>
        <w:adjustRightInd w:val="0"/>
        <w:spacing w:before="100" w:beforeAutospacing="1" w:after="100" w:afterAutospacing="1"/>
        <w:ind w:hanging="454"/>
        <w:rPr>
          <w:color w:val="000000"/>
          <w:sz w:val="22"/>
          <w:szCs w:val="22"/>
        </w:rPr>
      </w:pPr>
      <w:r w:rsidRPr="00A06E36">
        <w:rPr>
          <w:color w:val="000000"/>
          <w:sz w:val="22"/>
          <w:szCs w:val="22"/>
        </w:rPr>
        <w:t xml:space="preserve">Ecclestone, K., </w:t>
      </w:r>
      <w:proofErr w:type="spellStart"/>
      <w:r w:rsidRPr="00A06E36">
        <w:rPr>
          <w:color w:val="000000"/>
          <w:sz w:val="22"/>
          <w:szCs w:val="22"/>
        </w:rPr>
        <w:t>Biesta</w:t>
      </w:r>
      <w:proofErr w:type="spellEnd"/>
      <w:r w:rsidRPr="00A06E36">
        <w:rPr>
          <w:color w:val="000000"/>
          <w:sz w:val="22"/>
          <w:szCs w:val="22"/>
        </w:rPr>
        <w:t xml:space="preserve">, G. and Hughes, M. (2010) ‘Transitions in the </w:t>
      </w:r>
      <w:proofErr w:type="spellStart"/>
      <w:r w:rsidRPr="00A06E36">
        <w:rPr>
          <w:color w:val="000000"/>
          <w:sz w:val="22"/>
          <w:szCs w:val="22"/>
        </w:rPr>
        <w:t>lifecourse</w:t>
      </w:r>
      <w:proofErr w:type="spellEnd"/>
      <w:r w:rsidRPr="00A06E36">
        <w:rPr>
          <w:color w:val="000000"/>
          <w:sz w:val="22"/>
          <w:szCs w:val="22"/>
        </w:rPr>
        <w:t>: The role of identity,</w:t>
      </w:r>
    </w:p>
    <w:p w:rsidR="00461973" w:rsidRPr="00A06E36" w:rsidRDefault="00461973" w:rsidP="00FD2103">
      <w:pPr>
        <w:autoSpaceDE w:val="0"/>
        <w:autoSpaceDN w:val="0"/>
        <w:adjustRightInd w:val="0"/>
        <w:spacing w:before="100" w:beforeAutospacing="1" w:after="100" w:afterAutospacing="1"/>
        <w:ind w:hanging="454"/>
        <w:rPr>
          <w:color w:val="000000"/>
          <w:sz w:val="22"/>
          <w:szCs w:val="22"/>
        </w:rPr>
      </w:pPr>
      <w:r w:rsidRPr="00A06E36">
        <w:rPr>
          <w:color w:val="000000"/>
          <w:sz w:val="22"/>
          <w:szCs w:val="22"/>
        </w:rPr>
        <w:lastRenderedPageBreak/>
        <w:t xml:space="preserve">agency and structure’ in Ecclestone, K., </w:t>
      </w:r>
      <w:proofErr w:type="spellStart"/>
      <w:r w:rsidRPr="00A06E36">
        <w:rPr>
          <w:color w:val="000000"/>
          <w:sz w:val="22"/>
          <w:szCs w:val="22"/>
        </w:rPr>
        <w:t>Biesta</w:t>
      </w:r>
      <w:proofErr w:type="spellEnd"/>
      <w:r w:rsidRPr="00A06E36">
        <w:rPr>
          <w:color w:val="000000"/>
          <w:sz w:val="22"/>
          <w:szCs w:val="22"/>
        </w:rPr>
        <w:t xml:space="preserve">, G. and Hughes, M. (eds.) </w:t>
      </w:r>
      <w:r w:rsidRPr="00A06E36">
        <w:rPr>
          <w:i/>
          <w:color w:val="000000"/>
          <w:sz w:val="22"/>
          <w:szCs w:val="22"/>
        </w:rPr>
        <w:t xml:space="preserve">Transitions and learning through the </w:t>
      </w:r>
      <w:proofErr w:type="spellStart"/>
      <w:r w:rsidRPr="00A06E36">
        <w:rPr>
          <w:i/>
          <w:color w:val="000000"/>
          <w:sz w:val="22"/>
          <w:szCs w:val="22"/>
        </w:rPr>
        <w:t>lifecourse</w:t>
      </w:r>
      <w:proofErr w:type="spellEnd"/>
      <w:r w:rsidRPr="00A06E36">
        <w:rPr>
          <w:color w:val="000000"/>
          <w:sz w:val="22"/>
          <w:szCs w:val="22"/>
        </w:rPr>
        <w:t>,</w:t>
      </w:r>
      <w:r w:rsidRPr="00A06E36">
        <w:rPr>
          <w:i/>
          <w:color w:val="000000"/>
          <w:sz w:val="22"/>
          <w:szCs w:val="22"/>
        </w:rPr>
        <w:t xml:space="preserve"> </w:t>
      </w:r>
      <w:r w:rsidRPr="00A06E36">
        <w:rPr>
          <w:color w:val="000000"/>
          <w:sz w:val="22"/>
          <w:szCs w:val="22"/>
        </w:rPr>
        <w:t>London: Routledge.</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Eisner, E. (2008) ‘Art and Knowledge’, in Knowles, J. G. and Cole, A. L. (eds.), </w:t>
      </w:r>
      <w:r w:rsidRPr="00A06E36">
        <w:rPr>
          <w:i/>
          <w:iCs/>
          <w:color w:val="000000"/>
          <w:sz w:val="22"/>
          <w:szCs w:val="22"/>
        </w:rPr>
        <w:t>Handbook of the Arts in Qualitative Research</w:t>
      </w:r>
      <w:r w:rsidRPr="00A06E36">
        <w:rPr>
          <w:color w:val="000000"/>
          <w:sz w:val="22"/>
          <w:szCs w:val="22"/>
        </w:rPr>
        <w:t>, London: Sage.</w:t>
      </w:r>
    </w:p>
    <w:p w:rsidR="00461973" w:rsidRPr="00A06E36" w:rsidRDefault="00461973" w:rsidP="00FD2103">
      <w:pPr>
        <w:widowControl w:val="0"/>
        <w:autoSpaceDE w:val="0"/>
        <w:autoSpaceDN w:val="0"/>
        <w:adjustRightInd w:val="0"/>
        <w:spacing w:before="100" w:beforeAutospacing="1" w:after="100" w:afterAutospacing="1"/>
        <w:ind w:hanging="454"/>
        <w:rPr>
          <w:color w:val="000000"/>
          <w:sz w:val="22"/>
          <w:szCs w:val="22"/>
        </w:rPr>
      </w:pPr>
      <w:proofErr w:type="spellStart"/>
      <w:r w:rsidRPr="00A06E36">
        <w:rPr>
          <w:color w:val="000000"/>
          <w:sz w:val="22"/>
          <w:szCs w:val="22"/>
        </w:rPr>
        <w:t>Farenga</w:t>
      </w:r>
      <w:proofErr w:type="spellEnd"/>
      <w:r w:rsidRPr="00A06E36">
        <w:rPr>
          <w:color w:val="000000"/>
          <w:sz w:val="22"/>
          <w:szCs w:val="22"/>
        </w:rPr>
        <w:t>, S. A., Collins, S. and Renton, R. (2016). ‘Improving the transitional student</w:t>
      </w:r>
      <w:r w:rsidR="00FD2103">
        <w:rPr>
          <w:color w:val="000000"/>
          <w:sz w:val="22"/>
          <w:szCs w:val="22"/>
        </w:rPr>
        <w:t xml:space="preserve"> e</w:t>
      </w:r>
      <w:r w:rsidRPr="00A06E36">
        <w:rPr>
          <w:color w:val="000000"/>
          <w:sz w:val="22"/>
          <w:szCs w:val="22"/>
        </w:rPr>
        <w:t>xperience through innovative delivery of the National Scholarship Programme’, in M. Hill, A. Hudson, S. McKendry, N. Raven, D. Saunders, J, Storan and T. Ward (eds.),</w:t>
      </w:r>
      <w:r w:rsidRPr="00A06E36">
        <w:rPr>
          <w:i/>
          <w:color w:val="000000"/>
          <w:sz w:val="22"/>
          <w:szCs w:val="22"/>
        </w:rPr>
        <w:t xml:space="preserve"> Closing the Gap: Bridges for Access and Lifelong Learning</w:t>
      </w:r>
      <w:r w:rsidRPr="00A06E36">
        <w:rPr>
          <w:color w:val="000000"/>
          <w:sz w:val="22"/>
          <w:szCs w:val="22"/>
        </w:rPr>
        <w:t>. London: Forum for Access and Continuing Education.</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Finley, S. (2008). ‘Arts-Based Research’, in J. G. Knowles and A. L. Cole (eds.), </w:t>
      </w:r>
      <w:r w:rsidRPr="00A06E36">
        <w:rPr>
          <w:i/>
          <w:color w:val="000000"/>
          <w:sz w:val="22"/>
          <w:szCs w:val="22"/>
        </w:rPr>
        <w:t>Handbook of the Arts in Qualitative Research</w:t>
      </w:r>
      <w:r w:rsidRPr="00A06E36">
        <w:rPr>
          <w:color w:val="000000"/>
          <w:sz w:val="22"/>
          <w:szCs w:val="22"/>
        </w:rPr>
        <w:t>. London: Sage.</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Flick, U. (2014). </w:t>
      </w:r>
      <w:r w:rsidRPr="00A06E36">
        <w:rPr>
          <w:i/>
          <w:color w:val="000000"/>
          <w:sz w:val="22"/>
          <w:szCs w:val="22"/>
        </w:rPr>
        <w:t>An introduction to qualitative research</w:t>
      </w:r>
      <w:r w:rsidRPr="00A06E36">
        <w:rPr>
          <w:color w:val="000000"/>
          <w:sz w:val="22"/>
          <w:szCs w:val="22"/>
        </w:rPr>
        <w:t>. 5</w:t>
      </w:r>
      <w:r w:rsidRPr="00A06E36">
        <w:rPr>
          <w:color w:val="000000"/>
          <w:sz w:val="22"/>
          <w:szCs w:val="22"/>
          <w:vertAlign w:val="superscript"/>
        </w:rPr>
        <w:t>th</w:t>
      </w:r>
      <w:r w:rsidRPr="00A06E36">
        <w:rPr>
          <w:color w:val="000000"/>
          <w:sz w:val="22"/>
          <w:szCs w:val="22"/>
        </w:rPr>
        <w:t xml:space="preserve"> ed., London: Sage Publications.</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Gale, T. and Parker, S. (2014) ‘Navigating change: a typology of student transition in higher education’ </w:t>
      </w:r>
      <w:r w:rsidRPr="00A06E36">
        <w:rPr>
          <w:i/>
          <w:color w:val="000000"/>
          <w:sz w:val="22"/>
          <w:szCs w:val="22"/>
        </w:rPr>
        <w:t>Studies in Higher Education,</w:t>
      </w:r>
      <w:r w:rsidRPr="00A06E36">
        <w:rPr>
          <w:color w:val="000000"/>
          <w:sz w:val="22"/>
          <w:szCs w:val="22"/>
        </w:rPr>
        <w:t xml:space="preserve"> 39, 5: 734-753.</w:t>
      </w:r>
    </w:p>
    <w:p w:rsidR="00461973" w:rsidRPr="00A06E36" w:rsidRDefault="00461973" w:rsidP="00FD2103">
      <w:pPr>
        <w:spacing w:before="100" w:beforeAutospacing="1" w:after="100" w:afterAutospacing="1"/>
        <w:ind w:hanging="454"/>
        <w:rPr>
          <w:color w:val="000000"/>
          <w:sz w:val="22"/>
          <w:szCs w:val="22"/>
        </w:rPr>
      </w:pPr>
      <w:proofErr w:type="spellStart"/>
      <w:r w:rsidRPr="00A06E36">
        <w:rPr>
          <w:color w:val="000000"/>
          <w:sz w:val="22"/>
          <w:szCs w:val="22"/>
        </w:rPr>
        <w:t>Gerstenblatt</w:t>
      </w:r>
      <w:proofErr w:type="spellEnd"/>
      <w:r w:rsidRPr="00A06E36">
        <w:rPr>
          <w:color w:val="000000"/>
          <w:sz w:val="22"/>
          <w:szCs w:val="22"/>
        </w:rPr>
        <w:t xml:space="preserve">, P. (2013). ‘Collage Portraits as a Method of Analysis in Qualitative Research’. </w:t>
      </w:r>
      <w:r w:rsidRPr="00A06E36">
        <w:rPr>
          <w:i/>
          <w:color w:val="000000"/>
          <w:sz w:val="22"/>
          <w:szCs w:val="22"/>
        </w:rPr>
        <w:t>International Journal of Qualitative Methods</w:t>
      </w:r>
      <w:r w:rsidRPr="00A06E36">
        <w:rPr>
          <w:color w:val="000000"/>
          <w:sz w:val="22"/>
          <w:szCs w:val="22"/>
        </w:rPr>
        <w:t>, 12, 295-306.</w:t>
      </w:r>
    </w:p>
    <w:p w:rsidR="00461973" w:rsidRPr="00A06E36" w:rsidRDefault="00461973" w:rsidP="00FD2103">
      <w:pPr>
        <w:pStyle w:val="NoSpacing"/>
        <w:spacing w:before="100" w:beforeAutospacing="1" w:after="100" w:afterAutospacing="1"/>
        <w:ind w:hanging="454"/>
        <w:rPr>
          <w:rFonts w:ascii="Times New Roman" w:hAnsi="Times New Roman"/>
          <w:color w:val="000000"/>
        </w:rPr>
      </w:pPr>
      <w:r w:rsidRPr="00A06E36">
        <w:rPr>
          <w:rFonts w:ascii="Times New Roman" w:hAnsi="Times New Roman"/>
          <w:color w:val="000000"/>
        </w:rPr>
        <w:t xml:space="preserve">Higher Education Funding Council for England. (2013a) ‘Trends in young participation in higher education’ at </w:t>
      </w:r>
      <w:hyperlink r:id="rId11" w:history="1">
        <w:r w:rsidRPr="00A06E36">
          <w:rPr>
            <w:rStyle w:val="Hyperlink"/>
            <w:rFonts w:ascii="Times New Roman" w:hAnsi="Times New Roman"/>
            <w:color w:val="000000"/>
          </w:rPr>
          <w:t>http://www.hefce.ac.uk/media/hefce/content/pubs/2013/201328/HEFCE_2013_28.pdf</w:t>
        </w:r>
      </w:hyperlink>
      <w:r w:rsidRPr="00A06E36">
        <w:rPr>
          <w:rFonts w:ascii="Times New Roman" w:hAnsi="Times New Roman"/>
          <w:color w:val="000000"/>
        </w:rPr>
        <w:t xml:space="preserve"> (accessed 30 Sept 2016).</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Higher Education Funding Council for England. (2013b). Higher Education and Beyond: Outcomes from full-time </w:t>
      </w:r>
      <w:proofErr w:type="gramStart"/>
      <w:r w:rsidRPr="00A06E36">
        <w:rPr>
          <w:color w:val="000000"/>
          <w:sz w:val="22"/>
          <w:szCs w:val="22"/>
        </w:rPr>
        <w:t>first degree</w:t>
      </w:r>
      <w:proofErr w:type="gramEnd"/>
      <w:r w:rsidRPr="00A06E36">
        <w:rPr>
          <w:color w:val="000000"/>
          <w:sz w:val="22"/>
          <w:szCs w:val="22"/>
        </w:rPr>
        <w:t xml:space="preserve"> study. </w:t>
      </w:r>
      <w:hyperlink r:id="rId12" w:history="1">
        <w:r w:rsidRPr="00A06E36">
          <w:rPr>
            <w:rStyle w:val="Hyperlink"/>
            <w:color w:val="000000"/>
            <w:sz w:val="22"/>
            <w:szCs w:val="22"/>
          </w:rPr>
          <w:t>http://www.hefce.ac.uk/pubs/year/2013/201315/</w:t>
        </w:r>
      </w:hyperlink>
      <w:r w:rsidRPr="00A06E36">
        <w:rPr>
          <w:color w:val="000000"/>
          <w:sz w:val="22"/>
          <w:szCs w:val="22"/>
        </w:rPr>
        <w:t xml:space="preserve"> [accessed 30 Sept 2016]</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Higher Education Statistics Agency. (2016). Table T3b - </w:t>
      </w:r>
      <w:r w:rsidRPr="00A06E36">
        <w:rPr>
          <w:color w:val="000000"/>
          <w:sz w:val="22"/>
          <w:szCs w:val="22"/>
          <w:shd w:val="clear" w:color="auto" w:fill="FFFFFF"/>
        </w:rPr>
        <w:t xml:space="preserve">Non-continuation following year of entry: UK domiciled young full-time </w:t>
      </w:r>
      <w:proofErr w:type="gramStart"/>
      <w:r w:rsidRPr="00A06E36">
        <w:rPr>
          <w:color w:val="000000"/>
          <w:sz w:val="22"/>
          <w:szCs w:val="22"/>
          <w:shd w:val="clear" w:color="auto" w:fill="FFFFFF"/>
        </w:rPr>
        <w:t>first degree</w:t>
      </w:r>
      <w:proofErr w:type="gramEnd"/>
      <w:r w:rsidRPr="00A06E36">
        <w:rPr>
          <w:color w:val="000000"/>
          <w:sz w:val="22"/>
          <w:szCs w:val="22"/>
          <w:shd w:val="clear" w:color="auto" w:fill="FFFFFF"/>
        </w:rPr>
        <w:t xml:space="preserve"> entrants 2013/14. </w:t>
      </w:r>
      <w:hyperlink r:id="rId13" w:history="1">
        <w:r w:rsidRPr="00A06E36">
          <w:rPr>
            <w:rStyle w:val="Hyperlink"/>
            <w:color w:val="000000"/>
            <w:sz w:val="22"/>
            <w:szCs w:val="22"/>
            <w:shd w:val="clear" w:color="auto" w:fill="FFFFFF"/>
          </w:rPr>
          <w:t>https://www.hesa.ac.uk/data-and-analysis/performance-indicators/non-continuation</w:t>
        </w:r>
      </w:hyperlink>
      <w:r w:rsidRPr="00A06E36">
        <w:rPr>
          <w:color w:val="000000"/>
          <w:sz w:val="22"/>
          <w:szCs w:val="22"/>
          <w:shd w:val="clear" w:color="auto" w:fill="FFFFFF"/>
        </w:rPr>
        <w:t xml:space="preserve"> </w:t>
      </w:r>
      <w:r w:rsidRPr="00A06E36">
        <w:rPr>
          <w:color w:val="000000"/>
          <w:sz w:val="22"/>
          <w:szCs w:val="22"/>
        </w:rPr>
        <w:t>[accessed 30 Sept 2016]</w:t>
      </w:r>
    </w:p>
    <w:p w:rsidR="00461973" w:rsidRPr="00A06E36" w:rsidRDefault="00461973" w:rsidP="00FD2103">
      <w:pPr>
        <w:autoSpaceDE w:val="0"/>
        <w:autoSpaceDN w:val="0"/>
        <w:adjustRightInd w:val="0"/>
        <w:spacing w:before="100" w:beforeAutospacing="1" w:after="100" w:afterAutospacing="1"/>
        <w:ind w:hanging="454"/>
        <w:rPr>
          <w:color w:val="000000"/>
          <w:sz w:val="22"/>
          <w:szCs w:val="22"/>
        </w:rPr>
      </w:pPr>
      <w:proofErr w:type="spellStart"/>
      <w:r w:rsidRPr="00A06E36">
        <w:rPr>
          <w:color w:val="000000"/>
          <w:sz w:val="22"/>
          <w:szCs w:val="22"/>
        </w:rPr>
        <w:t>Kember</w:t>
      </w:r>
      <w:proofErr w:type="spellEnd"/>
      <w:r w:rsidRPr="00A06E36">
        <w:rPr>
          <w:color w:val="000000"/>
          <w:sz w:val="22"/>
          <w:szCs w:val="22"/>
        </w:rPr>
        <w:t xml:space="preserve">, D. (2001). “Beliefs about knowledge and the process of teaching and learning as a factor in adjusting to study in higher education”. </w:t>
      </w:r>
      <w:r w:rsidRPr="00A06E36">
        <w:rPr>
          <w:i/>
          <w:color w:val="000000"/>
          <w:sz w:val="22"/>
          <w:szCs w:val="22"/>
        </w:rPr>
        <w:t>Studies in Higher Education</w:t>
      </w:r>
      <w:r w:rsidRPr="00A06E36">
        <w:rPr>
          <w:color w:val="000000"/>
          <w:sz w:val="22"/>
          <w:szCs w:val="22"/>
        </w:rPr>
        <w:t>, 26, 2: 205-221.</w:t>
      </w:r>
    </w:p>
    <w:p w:rsidR="00461973" w:rsidRPr="00A06E36" w:rsidRDefault="00461973" w:rsidP="00FD2103">
      <w:pPr>
        <w:autoSpaceDE w:val="0"/>
        <w:autoSpaceDN w:val="0"/>
        <w:adjustRightInd w:val="0"/>
        <w:spacing w:before="100" w:beforeAutospacing="1" w:after="100" w:afterAutospacing="1"/>
        <w:ind w:hanging="454"/>
        <w:rPr>
          <w:color w:val="000000"/>
          <w:sz w:val="22"/>
          <w:szCs w:val="22"/>
        </w:rPr>
      </w:pPr>
      <w:r w:rsidRPr="00A06E36">
        <w:rPr>
          <w:color w:val="000000"/>
          <w:sz w:val="22"/>
          <w:szCs w:val="22"/>
        </w:rPr>
        <w:t xml:space="preserve">Krause, K.-L. and Coates, H. (2008). “Students’ engagement in first-year university.” </w:t>
      </w:r>
      <w:r w:rsidRPr="00A06E36">
        <w:rPr>
          <w:i/>
          <w:color w:val="000000"/>
          <w:sz w:val="22"/>
          <w:szCs w:val="22"/>
        </w:rPr>
        <w:t>Assessment and evaluation in higher education</w:t>
      </w:r>
      <w:r w:rsidRPr="00A06E36">
        <w:rPr>
          <w:color w:val="000000"/>
          <w:sz w:val="22"/>
          <w:szCs w:val="22"/>
        </w:rPr>
        <w:t>, 33, 5: 493-505.</w:t>
      </w:r>
    </w:p>
    <w:p w:rsidR="00461973" w:rsidRPr="00A06E36" w:rsidRDefault="00461973" w:rsidP="00FD2103">
      <w:pPr>
        <w:autoSpaceDE w:val="0"/>
        <w:autoSpaceDN w:val="0"/>
        <w:adjustRightInd w:val="0"/>
        <w:spacing w:before="100" w:beforeAutospacing="1" w:after="100" w:afterAutospacing="1"/>
        <w:ind w:hanging="454"/>
        <w:rPr>
          <w:color w:val="000000"/>
          <w:sz w:val="22"/>
          <w:szCs w:val="22"/>
        </w:rPr>
      </w:pPr>
      <w:proofErr w:type="spellStart"/>
      <w:r w:rsidRPr="00A06E36">
        <w:rPr>
          <w:color w:val="000000"/>
          <w:sz w:val="22"/>
          <w:szCs w:val="22"/>
        </w:rPr>
        <w:t>Kift</w:t>
      </w:r>
      <w:proofErr w:type="spellEnd"/>
      <w:r w:rsidRPr="00A06E36">
        <w:rPr>
          <w:color w:val="000000"/>
          <w:sz w:val="22"/>
          <w:szCs w:val="22"/>
        </w:rPr>
        <w:t xml:space="preserve">, S. (2009) ‘Articulating a transition pedagogy to scaffold and to enhance the </w:t>
      </w:r>
      <w:proofErr w:type="gramStart"/>
      <w:r w:rsidRPr="00A06E36">
        <w:rPr>
          <w:color w:val="000000"/>
          <w:sz w:val="22"/>
          <w:szCs w:val="22"/>
        </w:rPr>
        <w:t>first year</w:t>
      </w:r>
      <w:proofErr w:type="gramEnd"/>
      <w:r w:rsidRPr="00A06E36">
        <w:rPr>
          <w:color w:val="000000"/>
          <w:sz w:val="22"/>
          <w:szCs w:val="22"/>
        </w:rPr>
        <w:t xml:space="preserve"> student learning experience in Australian higher education: Final report for ALTC Senior Fellowship Program’, Strawberry Hills, NSW: Australian Learning and Teaching Council.</w:t>
      </w:r>
    </w:p>
    <w:p w:rsidR="00461973" w:rsidRPr="00A06E36" w:rsidRDefault="00461973" w:rsidP="00FD2103">
      <w:pPr>
        <w:autoSpaceDE w:val="0"/>
        <w:autoSpaceDN w:val="0"/>
        <w:adjustRightInd w:val="0"/>
        <w:spacing w:before="100" w:beforeAutospacing="1" w:after="100" w:afterAutospacing="1"/>
        <w:ind w:hanging="454"/>
        <w:rPr>
          <w:color w:val="000000"/>
          <w:sz w:val="22"/>
          <w:szCs w:val="22"/>
        </w:rPr>
      </w:pPr>
      <w:proofErr w:type="spellStart"/>
      <w:r w:rsidRPr="00A06E36">
        <w:rPr>
          <w:color w:val="000000"/>
          <w:sz w:val="22"/>
          <w:szCs w:val="22"/>
        </w:rPr>
        <w:t>Kift</w:t>
      </w:r>
      <w:proofErr w:type="spellEnd"/>
      <w:r w:rsidRPr="00A06E36">
        <w:rPr>
          <w:color w:val="000000"/>
          <w:sz w:val="22"/>
          <w:szCs w:val="22"/>
        </w:rPr>
        <w:t xml:space="preserve">, S., and K. Nelson. (2005) ‘Beyond curriculum reform: Embedding the transition experience’, paper presented at the </w:t>
      </w:r>
      <w:r w:rsidRPr="00A06E36">
        <w:rPr>
          <w:i/>
          <w:color w:val="000000"/>
          <w:sz w:val="22"/>
          <w:szCs w:val="22"/>
        </w:rPr>
        <w:t>Higher Education Research and Development Society of Australasia (HERDSA) conference</w:t>
      </w:r>
      <w:r w:rsidRPr="00A06E36">
        <w:rPr>
          <w:color w:val="000000"/>
          <w:sz w:val="22"/>
          <w:szCs w:val="22"/>
        </w:rPr>
        <w:t xml:space="preserve">, at </w:t>
      </w:r>
      <w:hyperlink r:id="rId14" w:history="1">
        <w:r w:rsidRPr="00A06E36">
          <w:rPr>
            <w:rStyle w:val="Hyperlink"/>
            <w:sz w:val="22"/>
            <w:szCs w:val="22"/>
          </w:rPr>
          <w:t>http://conference.herdsa.org.au/2005/pdf/refereed/paper_294.pdf</w:t>
        </w:r>
      </w:hyperlink>
      <w:r w:rsidRPr="00A06E36">
        <w:rPr>
          <w:color w:val="000000"/>
          <w:sz w:val="22"/>
          <w:szCs w:val="22"/>
        </w:rPr>
        <w:t xml:space="preserve"> (accessed 30 Sept 2016).</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lastRenderedPageBreak/>
        <w:t>Leese, M. (2010).</w:t>
      </w:r>
      <w:r w:rsidRPr="00A06E36">
        <w:rPr>
          <w:i/>
          <w:color w:val="000000"/>
          <w:sz w:val="22"/>
          <w:szCs w:val="22"/>
        </w:rPr>
        <w:t xml:space="preserve"> </w:t>
      </w:r>
      <w:r w:rsidRPr="00A06E36">
        <w:rPr>
          <w:color w:val="000000"/>
          <w:sz w:val="22"/>
          <w:szCs w:val="22"/>
        </w:rPr>
        <w:t xml:space="preserve">“Bridging the gap: supporting student transitions into higher education”. </w:t>
      </w:r>
      <w:r w:rsidRPr="00A06E36">
        <w:rPr>
          <w:i/>
          <w:color w:val="000000"/>
          <w:sz w:val="22"/>
          <w:szCs w:val="22"/>
        </w:rPr>
        <w:t>Journal of Further and Higher Education</w:t>
      </w:r>
      <w:r w:rsidRPr="00A06E36">
        <w:rPr>
          <w:color w:val="000000"/>
          <w:sz w:val="22"/>
          <w:szCs w:val="22"/>
        </w:rPr>
        <w:t>, 34, 2: 239-251.</w:t>
      </w:r>
    </w:p>
    <w:p w:rsidR="00461973" w:rsidRPr="00A06E36" w:rsidDel="004C5685" w:rsidRDefault="00461973" w:rsidP="00FD2103">
      <w:pPr>
        <w:spacing w:before="100" w:beforeAutospacing="1" w:after="100" w:afterAutospacing="1"/>
        <w:ind w:hanging="454"/>
        <w:rPr>
          <w:color w:val="000000"/>
          <w:sz w:val="22"/>
          <w:szCs w:val="22"/>
        </w:rPr>
      </w:pPr>
      <w:r w:rsidRPr="00A06E36">
        <w:rPr>
          <w:color w:val="000000"/>
          <w:sz w:val="22"/>
          <w:szCs w:val="22"/>
        </w:rPr>
        <w:t xml:space="preserve">Lincoln, Y. and Guba, E. (1985). </w:t>
      </w:r>
      <w:r w:rsidRPr="00A06E36">
        <w:rPr>
          <w:i/>
          <w:color w:val="000000"/>
          <w:sz w:val="22"/>
          <w:szCs w:val="22"/>
        </w:rPr>
        <w:t>Naturalistic inquiry</w:t>
      </w:r>
      <w:r w:rsidRPr="00A06E36">
        <w:rPr>
          <w:color w:val="000000"/>
          <w:sz w:val="22"/>
          <w:szCs w:val="22"/>
        </w:rPr>
        <w:t>. London: Sage.</w:t>
      </w:r>
    </w:p>
    <w:p w:rsidR="00461973" w:rsidRPr="00A06E36" w:rsidRDefault="00461973" w:rsidP="00FD2103">
      <w:pPr>
        <w:spacing w:before="100" w:beforeAutospacing="1" w:after="100" w:afterAutospacing="1"/>
        <w:ind w:hanging="454"/>
        <w:rPr>
          <w:color w:val="000000"/>
          <w:sz w:val="22"/>
          <w:szCs w:val="22"/>
        </w:rPr>
      </w:pPr>
      <w:proofErr w:type="spellStart"/>
      <w:r w:rsidRPr="00A06E36">
        <w:rPr>
          <w:rFonts w:eastAsia="Calibri"/>
          <w:sz w:val="22"/>
          <w:szCs w:val="22"/>
        </w:rPr>
        <w:t>Mannay</w:t>
      </w:r>
      <w:proofErr w:type="spellEnd"/>
      <w:r w:rsidRPr="00A06E36">
        <w:rPr>
          <w:rFonts w:eastAsia="Calibri"/>
          <w:sz w:val="22"/>
          <w:szCs w:val="22"/>
        </w:rPr>
        <w:t xml:space="preserve">, D. (2010). “Making the familiar strange: can visual research methods render the familiar setting more perceptible?” </w:t>
      </w:r>
      <w:r w:rsidRPr="00A06E36">
        <w:rPr>
          <w:rFonts w:eastAsia="Calibri"/>
          <w:i/>
          <w:sz w:val="22"/>
          <w:szCs w:val="22"/>
        </w:rPr>
        <w:t>Qualitative Research</w:t>
      </w:r>
      <w:r w:rsidRPr="00A06E36">
        <w:rPr>
          <w:rFonts w:eastAsia="Calibri"/>
          <w:sz w:val="22"/>
          <w:szCs w:val="22"/>
        </w:rPr>
        <w:t>, 10, 1: 91-111.</w:t>
      </w:r>
    </w:p>
    <w:p w:rsidR="00461973" w:rsidRPr="00A06E36" w:rsidRDefault="00461973" w:rsidP="00FD2103">
      <w:pPr>
        <w:spacing w:before="100" w:beforeAutospacing="1" w:after="100" w:afterAutospacing="1"/>
        <w:ind w:hanging="454"/>
        <w:rPr>
          <w:color w:val="000000"/>
          <w:sz w:val="22"/>
          <w:szCs w:val="22"/>
        </w:rPr>
      </w:pPr>
      <w:proofErr w:type="spellStart"/>
      <w:r w:rsidRPr="00A06E36">
        <w:rPr>
          <w:color w:val="000000"/>
          <w:sz w:val="22"/>
          <w:szCs w:val="22"/>
        </w:rPr>
        <w:t>McNiff</w:t>
      </w:r>
      <w:proofErr w:type="spellEnd"/>
      <w:r w:rsidRPr="00A06E36">
        <w:rPr>
          <w:color w:val="000000"/>
          <w:sz w:val="22"/>
          <w:szCs w:val="22"/>
        </w:rPr>
        <w:t xml:space="preserve">, S. (2008). ‘Art-based research’, in J. G. Knowles and A. L. Cole (eds.), </w:t>
      </w:r>
      <w:r w:rsidRPr="00A06E36">
        <w:rPr>
          <w:i/>
          <w:color w:val="000000"/>
          <w:sz w:val="22"/>
          <w:szCs w:val="22"/>
        </w:rPr>
        <w:t>Handbook of the Arts in Qualitative Research</w:t>
      </w:r>
      <w:r w:rsidRPr="00A06E36">
        <w:rPr>
          <w:color w:val="000000"/>
          <w:sz w:val="22"/>
          <w:szCs w:val="22"/>
        </w:rPr>
        <w:t>. London: Sage.</w:t>
      </w:r>
    </w:p>
    <w:p w:rsidR="00461973" w:rsidRPr="00A06E36" w:rsidRDefault="00461973" w:rsidP="00FD2103">
      <w:pPr>
        <w:pStyle w:val="NoSpacing"/>
        <w:spacing w:before="100" w:beforeAutospacing="1" w:after="100" w:afterAutospacing="1"/>
        <w:ind w:hanging="454"/>
        <w:rPr>
          <w:rFonts w:ascii="Times New Roman" w:hAnsi="Times New Roman"/>
          <w:color w:val="000000"/>
        </w:rPr>
      </w:pPr>
      <w:proofErr w:type="spellStart"/>
      <w:r w:rsidRPr="00A06E36">
        <w:rPr>
          <w:rFonts w:ascii="Times New Roman" w:hAnsi="Times New Roman"/>
          <w:color w:val="000000"/>
        </w:rPr>
        <w:t>Neilsen</w:t>
      </w:r>
      <w:proofErr w:type="spellEnd"/>
      <w:r w:rsidRPr="00A06E36">
        <w:rPr>
          <w:rFonts w:ascii="Times New Roman" w:hAnsi="Times New Roman"/>
          <w:color w:val="000000"/>
        </w:rPr>
        <w:t xml:space="preserve">, L. (2002). ‘Learning from the luminal: Fiction as knowledge’. </w:t>
      </w:r>
      <w:r w:rsidRPr="00A06E36">
        <w:rPr>
          <w:rFonts w:ascii="Times New Roman" w:hAnsi="Times New Roman"/>
          <w:i/>
          <w:color w:val="000000"/>
        </w:rPr>
        <w:t>Alberta Journal of Educational Research</w:t>
      </w:r>
      <w:r w:rsidRPr="00A06E36">
        <w:rPr>
          <w:rFonts w:ascii="Times New Roman" w:hAnsi="Times New Roman"/>
          <w:color w:val="000000"/>
        </w:rPr>
        <w:t>, 47, 206-214.</w:t>
      </w:r>
    </w:p>
    <w:p w:rsidR="00461973" w:rsidRPr="00A06E36" w:rsidRDefault="00461973" w:rsidP="00FD2103">
      <w:pPr>
        <w:pStyle w:val="NoSpacing"/>
        <w:spacing w:before="100" w:beforeAutospacing="1" w:after="100" w:afterAutospacing="1"/>
        <w:ind w:hanging="454"/>
        <w:rPr>
          <w:rFonts w:ascii="Times New Roman" w:hAnsi="Times New Roman"/>
          <w:color w:val="000000"/>
        </w:rPr>
      </w:pPr>
      <w:r w:rsidRPr="00A06E36">
        <w:rPr>
          <w:rFonts w:ascii="Times New Roman" w:hAnsi="Times New Roman"/>
          <w:color w:val="000000"/>
        </w:rPr>
        <w:t xml:space="preserve">O’Shea, S. (2014). “Transitions and turning points: exploring how first-in-family female students story their transition to university and student identity formation”. </w:t>
      </w:r>
      <w:r w:rsidRPr="00A06E36">
        <w:rPr>
          <w:rFonts w:ascii="Times New Roman" w:hAnsi="Times New Roman"/>
          <w:i/>
          <w:color w:val="000000"/>
        </w:rPr>
        <w:t>International Journal of Qualitative Studies in Education</w:t>
      </w:r>
      <w:r w:rsidRPr="00A06E36">
        <w:rPr>
          <w:rFonts w:ascii="Times New Roman" w:hAnsi="Times New Roman"/>
          <w:color w:val="000000"/>
        </w:rPr>
        <w:t>, 27, 2: 135-158.</w:t>
      </w:r>
    </w:p>
    <w:p w:rsidR="00461973" w:rsidRPr="00A06E36" w:rsidRDefault="00461973" w:rsidP="00FD2103">
      <w:pPr>
        <w:pStyle w:val="NoSpacing"/>
        <w:spacing w:before="100" w:beforeAutospacing="1" w:after="100" w:afterAutospacing="1"/>
        <w:ind w:hanging="454"/>
        <w:rPr>
          <w:rFonts w:ascii="Times New Roman" w:hAnsi="Times New Roman"/>
          <w:color w:val="000000"/>
        </w:rPr>
      </w:pPr>
      <w:r w:rsidRPr="00A06E36">
        <w:rPr>
          <w:rFonts w:ascii="Times New Roman" w:hAnsi="Times New Roman"/>
          <w:color w:val="000000"/>
        </w:rPr>
        <w:t xml:space="preserve">Patton, M.Q. (2002). </w:t>
      </w:r>
      <w:r w:rsidRPr="00A06E36">
        <w:rPr>
          <w:rFonts w:ascii="Times New Roman" w:hAnsi="Times New Roman"/>
          <w:i/>
          <w:color w:val="000000"/>
        </w:rPr>
        <w:t>Qualitative Education and Research Education</w:t>
      </w:r>
      <w:r w:rsidRPr="00A06E36">
        <w:rPr>
          <w:rFonts w:ascii="Times New Roman" w:hAnsi="Times New Roman"/>
          <w:color w:val="000000"/>
        </w:rPr>
        <w:t>. 3</w:t>
      </w:r>
      <w:r w:rsidRPr="00A06E36">
        <w:rPr>
          <w:rFonts w:ascii="Times New Roman" w:hAnsi="Times New Roman"/>
          <w:color w:val="000000"/>
          <w:vertAlign w:val="superscript"/>
        </w:rPr>
        <w:t>rd</w:t>
      </w:r>
      <w:r w:rsidRPr="00A06E36">
        <w:rPr>
          <w:rFonts w:ascii="Times New Roman" w:hAnsi="Times New Roman"/>
          <w:color w:val="000000"/>
        </w:rPr>
        <w:t xml:space="preserve"> ed., London: Sage.</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Punch, K. (2014). </w:t>
      </w:r>
      <w:r w:rsidRPr="00A06E36">
        <w:rPr>
          <w:i/>
          <w:color w:val="000000"/>
          <w:sz w:val="22"/>
          <w:szCs w:val="22"/>
        </w:rPr>
        <w:t>Introduction to social research: quantitative and qualitative approache</w:t>
      </w:r>
      <w:r w:rsidRPr="00A06E36">
        <w:rPr>
          <w:color w:val="000000"/>
          <w:sz w:val="22"/>
          <w:szCs w:val="22"/>
        </w:rPr>
        <w:t>s. 3</w:t>
      </w:r>
      <w:r w:rsidRPr="00A06E36">
        <w:rPr>
          <w:color w:val="000000"/>
          <w:sz w:val="22"/>
          <w:szCs w:val="22"/>
          <w:vertAlign w:val="superscript"/>
        </w:rPr>
        <w:t>rd</w:t>
      </w:r>
      <w:r w:rsidRPr="00A06E36">
        <w:rPr>
          <w:color w:val="000000"/>
          <w:sz w:val="22"/>
          <w:szCs w:val="22"/>
        </w:rPr>
        <w:t xml:space="preserve"> ed., London: Sage.</w:t>
      </w:r>
    </w:p>
    <w:p w:rsidR="00461973" w:rsidRPr="00A06E36" w:rsidRDefault="00461973" w:rsidP="00FD2103">
      <w:pPr>
        <w:autoSpaceDE w:val="0"/>
        <w:autoSpaceDN w:val="0"/>
        <w:adjustRightInd w:val="0"/>
        <w:spacing w:before="100" w:beforeAutospacing="1" w:after="100" w:afterAutospacing="1"/>
        <w:ind w:hanging="454"/>
        <w:rPr>
          <w:color w:val="000000"/>
          <w:sz w:val="22"/>
          <w:szCs w:val="22"/>
        </w:rPr>
      </w:pPr>
      <w:r w:rsidRPr="00A06E36">
        <w:rPr>
          <w:color w:val="000000"/>
          <w:sz w:val="22"/>
          <w:szCs w:val="22"/>
        </w:rPr>
        <w:t xml:space="preserve">Quinn, J. (2010) ‘Rethinking ‘failed transitions’ to higher education’, in Ecclestone, K., </w:t>
      </w:r>
      <w:proofErr w:type="spellStart"/>
      <w:r w:rsidRPr="00A06E36">
        <w:rPr>
          <w:color w:val="000000"/>
          <w:sz w:val="22"/>
          <w:szCs w:val="22"/>
        </w:rPr>
        <w:t>Biesta</w:t>
      </w:r>
      <w:proofErr w:type="spellEnd"/>
      <w:r w:rsidRPr="00A06E36">
        <w:rPr>
          <w:color w:val="000000"/>
          <w:sz w:val="22"/>
          <w:szCs w:val="22"/>
        </w:rPr>
        <w:t xml:space="preserve">, G. and Hughes, M. (eds.) </w:t>
      </w:r>
      <w:r w:rsidRPr="00A06E36">
        <w:rPr>
          <w:i/>
          <w:color w:val="000000"/>
          <w:sz w:val="22"/>
          <w:szCs w:val="22"/>
        </w:rPr>
        <w:t xml:space="preserve">Transitions and learning through the </w:t>
      </w:r>
      <w:proofErr w:type="spellStart"/>
      <w:r w:rsidRPr="00A06E36">
        <w:rPr>
          <w:i/>
          <w:color w:val="000000"/>
          <w:sz w:val="22"/>
          <w:szCs w:val="22"/>
        </w:rPr>
        <w:t>lifecourse</w:t>
      </w:r>
      <w:proofErr w:type="spellEnd"/>
      <w:r w:rsidRPr="00A06E36">
        <w:rPr>
          <w:color w:val="000000"/>
          <w:sz w:val="22"/>
          <w:szCs w:val="22"/>
        </w:rPr>
        <w:t>,</w:t>
      </w:r>
      <w:r w:rsidRPr="00A06E36">
        <w:rPr>
          <w:i/>
          <w:color w:val="000000"/>
          <w:sz w:val="22"/>
          <w:szCs w:val="22"/>
        </w:rPr>
        <w:t xml:space="preserve"> </w:t>
      </w:r>
      <w:r w:rsidRPr="00A06E36">
        <w:rPr>
          <w:color w:val="000000"/>
          <w:sz w:val="22"/>
          <w:szCs w:val="22"/>
        </w:rPr>
        <w:t>London: Routledge.</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Price, M., Handley, K. and Millar, J. (2011). “Feedback: focusing attention on engagement”. </w:t>
      </w:r>
      <w:r w:rsidRPr="00A06E36">
        <w:rPr>
          <w:i/>
          <w:color w:val="000000"/>
          <w:sz w:val="22"/>
          <w:szCs w:val="22"/>
        </w:rPr>
        <w:t>Studies in Higher Education</w:t>
      </w:r>
      <w:r w:rsidRPr="00A06E36">
        <w:rPr>
          <w:color w:val="000000"/>
          <w:sz w:val="22"/>
          <w:szCs w:val="22"/>
        </w:rPr>
        <w:t>, 36, 8: 876-896.</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Reay, D., Crozier, G. and Clayton, J. (2009). ‘’Strangers in Paradise’? Working-class Students in Elite Universities’, </w:t>
      </w:r>
      <w:r w:rsidRPr="00A06E36">
        <w:rPr>
          <w:i/>
          <w:iCs/>
          <w:color w:val="000000"/>
          <w:sz w:val="22"/>
          <w:szCs w:val="22"/>
        </w:rPr>
        <w:t>Sociology</w:t>
      </w:r>
      <w:r w:rsidRPr="00A06E36">
        <w:rPr>
          <w:color w:val="000000"/>
          <w:sz w:val="22"/>
          <w:szCs w:val="22"/>
        </w:rPr>
        <w:t>, 43, 6: 1-19.</w:t>
      </w:r>
    </w:p>
    <w:p w:rsidR="00461973" w:rsidRPr="00A06E36" w:rsidRDefault="00461973" w:rsidP="00FD2103">
      <w:pPr>
        <w:shd w:val="clear" w:color="auto" w:fill="FFFFFF"/>
        <w:spacing w:before="100" w:beforeAutospacing="1" w:after="100" w:afterAutospacing="1"/>
        <w:ind w:hanging="454"/>
        <w:rPr>
          <w:color w:val="000000"/>
          <w:sz w:val="22"/>
          <w:szCs w:val="22"/>
        </w:rPr>
      </w:pPr>
      <w:r w:rsidRPr="00A06E36">
        <w:rPr>
          <w:color w:val="000000"/>
          <w:sz w:val="22"/>
          <w:szCs w:val="22"/>
        </w:rPr>
        <w:t xml:space="preserve">Reay, D., Crozier, G. and Clayton, J. (2010). “’Fitting in’ or ‘standing out’: working-class students in UK higher education”. </w:t>
      </w:r>
      <w:r w:rsidRPr="00A06E36">
        <w:rPr>
          <w:i/>
          <w:color w:val="000000"/>
          <w:sz w:val="22"/>
          <w:szCs w:val="22"/>
        </w:rPr>
        <w:t>British Educational Research Journal</w:t>
      </w:r>
      <w:r w:rsidRPr="00A06E36">
        <w:rPr>
          <w:color w:val="000000"/>
          <w:sz w:val="22"/>
          <w:szCs w:val="22"/>
        </w:rPr>
        <w:t>, 36, 1: 107-124.</w:t>
      </w:r>
    </w:p>
    <w:p w:rsidR="00461973" w:rsidRPr="00A06E36" w:rsidRDefault="00461973" w:rsidP="00FD2103">
      <w:pPr>
        <w:pStyle w:val="NoSpacing"/>
        <w:spacing w:before="100" w:beforeAutospacing="1" w:after="100" w:afterAutospacing="1"/>
        <w:ind w:hanging="454"/>
        <w:rPr>
          <w:color w:val="000000"/>
        </w:rPr>
      </w:pPr>
      <w:r w:rsidRPr="00A06E36">
        <w:rPr>
          <w:rFonts w:ascii="Times New Roman" w:hAnsi="Times New Roman"/>
          <w:color w:val="000000"/>
        </w:rPr>
        <w:t xml:space="preserve">Roberts, S. (2011). ‘Traditional practice for non-traditional students? Examining the role of pedagogy in higher education retention’. </w:t>
      </w:r>
      <w:r w:rsidRPr="00A06E36">
        <w:rPr>
          <w:rFonts w:ascii="Times New Roman" w:hAnsi="Times New Roman"/>
          <w:i/>
          <w:color w:val="000000"/>
        </w:rPr>
        <w:t xml:space="preserve">Journal of Further and Higher </w:t>
      </w:r>
      <w:proofErr w:type="gramStart"/>
      <w:r w:rsidRPr="00A06E36">
        <w:rPr>
          <w:rFonts w:ascii="Times New Roman" w:hAnsi="Times New Roman"/>
          <w:i/>
          <w:color w:val="000000"/>
        </w:rPr>
        <w:t>Education</w:t>
      </w:r>
      <w:r w:rsidRPr="00A06E36">
        <w:rPr>
          <w:rFonts w:ascii="Times New Roman" w:hAnsi="Times New Roman"/>
          <w:color w:val="000000"/>
        </w:rPr>
        <w:t xml:space="preserve">  35</w:t>
      </w:r>
      <w:proofErr w:type="gramEnd"/>
      <w:r w:rsidRPr="00A06E36">
        <w:rPr>
          <w:rFonts w:ascii="Times New Roman" w:hAnsi="Times New Roman"/>
          <w:color w:val="000000"/>
        </w:rPr>
        <w:t>, 2: 183-199.</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Shenton, A. K., (2004). ‘Strategies for ensuring trustworthiness in qualitative research projects’. </w:t>
      </w:r>
      <w:r w:rsidRPr="00A06E36">
        <w:rPr>
          <w:i/>
          <w:color w:val="000000"/>
          <w:sz w:val="22"/>
          <w:szCs w:val="22"/>
        </w:rPr>
        <w:t>Education for Information</w:t>
      </w:r>
      <w:r w:rsidRPr="00A06E36">
        <w:rPr>
          <w:color w:val="000000"/>
          <w:sz w:val="22"/>
          <w:szCs w:val="22"/>
        </w:rPr>
        <w:t xml:space="preserve"> 22: 63-75.</w:t>
      </w:r>
    </w:p>
    <w:p w:rsidR="00461973" w:rsidRPr="00A06E36" w:rsidRDefault="00461973" w:rsidP="00FD2103">
      <w:pPr>
        <w:pStyle w:val="NoSpacing"/>
        <w:spacing w:before="100" w:beforeAutospacing="1" w:after="100" w:afterAutospacing="1"/>
        <w:ind w:hanging="454"/>
        <w:rPr>
          <w:color w:val="000000"/>
        </w:rPr>
      </w:pPr>
      <w:r w:rsidRPr="00A06E36">
        <w:rPr>
          <w:rFonts w:ascii="Times New Roman" w:hAnsi="Times New Roman"/>
        </w:rPr>
        <w:t>University and Colleges Admissions Service. (201</w:t>
      </w:r>
      <w:r w:rsidR="00926919" w:rsidRPr="00A06E36">
        <w:rPr>
          <w:rFonts w:ascii="Times New Roman" w:hAnsi="Times New Roman"/>
        </w:rPr>
        <w:t>6</w:t>
      </w:r>
      <w:r w:rsidRPr="00A06E36">
        <w:rPr>
          <w:rFonts w:ascii="Times New Roman" w:hAnsi="Times New Roman"/>
        </w:rPr>
        <w:t>). End of cycle report 201</w:t>
      </w:r>
      <w:r w:rsidR="00926919" w:rsidRPr="00A06E36">
        <w:rPr>
          <w:rFonts w:ascii="Times New Roman" w:hAnsi="Times New Roman"/>
        </w:rPr>
        <w:t>6</w:t>
      </w:r>
      <w:r w:rsidRPr="00A06E36">
        <w:rPr>
          <w:rFonts w:ascii="Times New Roman" w:hAnsi="Times New Roman"/>
        </w:rPr>
        <w:t>.</w:t>
      </w:r>
      <w:r w:rsidR="00FD2103">
        <w:rPr>
          <w:rFonts w:ascii="Times New Roman" w:hAnsi="Times New Roman"/>
        </w:rPr>
        <w:t xml:space="preserve"> </w:t>
      </w:r>
      <w:hyperlink r:id="rId15" w:history="1">
        <w:r w:rsidR="00926919" w:rsidRPr="00A06E36">
          <w:rPr>
            <w:rStyle w:val="Hyperlink"/>
            <w:rFonts w:ascii="Times New Roman" w:hAnsi="Times New Roman"/>
          </w:rPr>
          <w:t>https://www.ucas.com/files/2016-end-cycle-report-2016</w:t>
        </w:r>
      </w:hyperlink>
      <w:r w:rsidR="00926919" w:rsidRPr="00A06E36">
        <w:rPr>
          <w:rFonts w:ascii="Times New Roman" w:hAnsi="Times New Roman"/>
        </w:rPr>
        <w:t xml:space="preserve"> </w:t>
      </w:r>
      <w:r w:rsidRPr="00A06E36">
        <w:rPr>
          <w:rFonts w:ascii="Times New Roman" w:hAnsi="Times New Roman"/>
        </w:rPr>
        <w:t xml:space="preserve">[accessed </w:t>
      </w:r>
      <w:r w:rsidR="00926919" w:rsidRPr="00A06E36">
        <w:rPr>
          <w:rFonts w:ascii="Times New Roman" w:hAnsi="Times New Roman"/>
        </w:rPr>
        <w:t>Apr</w:t>
      </w:r>
      <w:r w:rsidRPr="00A06E36">
        <w:rPr>
          <w:rFonts w:ascii="Times New Roman" w:hAnsi="Times New Roman"/>
        </w:rPr>
        <w:t xml:space="preserve"> </w:t>
      </w:r>
      <w:proofErr w:type="gramStart"/>
      <w:r w:rsidR="00926919" w:rsidRPr="00A06E36">
        <w:rPr>
          <w:rFonts w:ascii="Times New Roman" w:hAnsi="Times New Roman"/>
        </w:rPr>
        <w:t>24</w:t>
      </w:r>
      <w:proofErr w:type="gramEnd"/>
      <w:r w:rsidRPr="00A06E36">
        <w:rPr>
          <w:rFonts w:ascii="Times New Roman" w:hAnsi="Times New Roman"/>
        </w:rPr>
        <w:t xml:space="preserve"> 201</w:t>
      </w:r>
      <w:r w:rsidR="00926919" w:rsidRPr="00A06E36">
        <w:rPr>
          <w:rFonts w:ascii="Times New Roman" w:hAnsi="Times New Roman"/>
        </w:rPr>
        <w:t>7</w:t>
      </w:r>
      <w:r w:rsidRPr="00A06E36">
        <w:rPr>
          <w:rFonts w:ascii="Times New Roman" w:hAnsi="Times New Roman"/>
        </w:rPr>
        <w:t>]</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Vaughan, K. (2005). ‘Pieced together: Collage as an artist’s method for interdisciplinary research’. </w:t>
      </w:r>
      <w:r w:rsidRPr="00A06E36">
        <w:rPr>
          <w:i/>
          <w:color w:val="000000"/>
          <w:sz w:val="22"/>
          <w:szCs w:val="22"/>
        </w:rPr>
        <w:t>International Journal of Qualitative Methods</w:t>
      </w:r>
      <w:r w:rsidRPr="00A06E36">
        <w:rPr>
          <w:color w:val="000000"/>
          <w:sz w:val="22"/>
          <w:szCs w:val="22"/>
        </w:rPr>
        <w:t xml:space="preserve"> 4, 1: 1-21.</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Weber, S. (2008). ‘Visual Images in Research’, in J. G. Knowles and A. L. Cole (eds.), </w:t>
      </w:r>
      <w:r w:rsidRPr="00A06E36">
        <w:rPr>
          <w:i/>
          <w:color w:val="000000"/>
          <w:sz w:val="22"/>
          <w:szCs w:val="22"/>
        </w:rPr>
        <w:t>Handbook of the Arts in Qualitative Research</w:t>
      </w:r>
      <w:r w:rsidRPr="00A06E36">
        <w:rPr>
          <w:color w:val="000000"/>
          <w:sz w:val="22"/>
          <w:szCs w:val="22"/>
        </w:rPr>
        <w:t>. London: Sage.</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lastRenderedPageBreak/>
        <w:t xml:space="preserve">Wingate, U. (2007). “A framework for transition: supporting ‘learning to learn’ in higher education”. </w:t>
      </w:r>
      <w:r w:rsidRPr="00A06E36">
        <w:rPr>
          <w:i/>
          <w:color w:val="000000"/>
          <w:sz w:val="22"/>
          <w:szCs w:val="22"/>
        </w:rPr>
        <w:t>Higher Education Quarterly</w:t>
      </w:r>
      <w:r w:rsidRPr="00A06E36">
        <w:rPr>
          <w:color w:val="000000"/>
          <w:sz w:val="22"/>
          <w:szCs w:val="22"/>
        </w:rPr>
        <w:t>, 61, 3: 391-406.</w:t>
      </w:r>
    </w:p>
    <w:p w:rsidR="00461973" w:rsidRPr="00A06E36" w:rsidRDefault="00461973" w:rsidP="00FD2103">
      <w:pPr>
        <w:spacing w:before="100" w:beforeAutospacing="1" w:after="100" w:afterAutospacing="1"/>
        <w:ind w:hanging="454"/>
        <w:rPr>
          <w:color w:val="000000"/>
          <w:sz w:val="22"/>
          <w:szCs w:val="22"/>
        </w:rPr>
      </w:pPr>
      <w:r w:rsidRPr="00A06E36">
        <w:rPr>
          <w:color w:val="000000"/>
          <w:sz w:val="22"/>
          <w:szCs w:val="22"/>
        </w:rPr>
        <w:t xml:space="preserve">Yin, R. (2009) </w:t>
      </w:r>
      <w:r w:rsidRPr="00A06E36">
        <w:rPr>
          <w:i/>
          <w:color w:val="000000"/>
          <w:sz w:val="22"/>
          <w:szCs w:val="22"/>
        </w:rPr>
        <w:t>Case study research design and methods</w:t>
      </w:r>
      <w:r w:rsidRPr="00A06E36">
        <w:rPr>
          <w:color w:val="000000"/>
          <w:sz w:val="22"/>
          <w:szCs w:val="22"/>
        </w:rPr>
        <w:t>. 4</w:t>
      </w:r>
      <w:r w:rsidRPr="00A06E36">
        <w:rPr>
          <w:color w:val="000000"/>
          <w:sz w:val="22"/>
          <w:szCs w:val="22"/>
          <w:vertAlign w:val="superscript"/>
        </w:rPr>
        <w:t>th</w:t>
      </w:r>
      <w:r w:rsidRPr="00A06E36">
        <w:rPr>
          <w:color w:val="000000"/>
          <w:sz w:val="22"/>
          <w:szCs w:val="22"/>
        </w:rPr>
        <w:t xml:space="preserve"> ed., London: Sage Publications.</w:t>
      </w:r>
    </w:p>
    <w:p w:rsidR="00461973" w:rsidRPr="00A06E36" w:rsidRDefault="00461973" w:rsidP="00FD2103">
      <w:pPr>
        <w:spacing w:before="100" w:beforeAutospacing="1" w:after="100" w:afterAutospacing="1"/>
        <w:ind w:hanging="454"/>
        <w:rPr>
          <w:sz w:val="22"/>
          <w:szCs w:val="22"/>
        </w:rPr>
      </w:pPr>
      <w:r w:rsidRPr="00A06E36">
        <w:rPr>
          <w:sz w:val="22"/>
          <w:szCs w:val="22"/>
        </w:rPr>
        <w:t xml:space="preserve">Yorke, M. and </w:t>
      </w:r>
      <w:proofErr w:type="spellStart"/>
      <w:r w:rsidRPr="00A06E36">
        <w:rPr>
          <w:sz w:val="22"/>
          <w:szCs w:val="22"/>
        </w:rPr>
        <w:t>Longden</w:t>
      </w:r>
      <w:proofErr w:type="spellEnd"/>
      <w:r w:rsidRPr="00A06E36">
        <w:rPr>
          <w:sz w:val="22"/>
          <w:szCs w:val="22"/>
        </w:rPr>
        <w:t xml:space="preserve">, B. (2007). </w:t>
      </w:r>
      <w:r w:rsidRPr="00A06E36">
        <w:rPr>
          <w:i/>
          <w:sz w:val="22"/>
          <w:szCs w:val="22"/>
        </w:rPr>
        <w:t xml:space="preserve">The </w:t>
      </w:r>
      <w:proofErr w:type="gramStart"/>
      <w:r w:rsidRPr="00A06E36">
        <w:rPr>
          <w:i/>
          <w:sz w:val="22"/>
          <w:szCs w:val="22"/>
        </w:rPr>
        <w:t>first year</w:t>
      </w:r>
      <w:proofErr w:type="gramEnd"/>
      <w:r w:rsidRPr="00A06E36">
        <w:rPr>
          <w:i/>
          <w:sz w:val="22"/>
          <w:szCs w:val="22"/>
        </w:rPr>
        <w:t xml:space="preserve"> experience in higher education: report of phase 1 of a project funded by the Higher Education Academy</w:t>
      </w:r>
      <w:r w:rsidRPr="00A06E36">
        <w:rPr>
          <w:sz w:val="22"/>
          <w:szCs w:val="22"/>
        </w:rPr>
        <w:t>. York: Higher Education Academy.</w:t>
      </w:r>
      <w:bookmarkStart w:id="8" w:name="_GoBack"/>
      <w:bookmarkEnd w:id="8"/>
    </w:p>
    <w:p w:rsidR="00911A6E" w:rsidRPr="00E8039A" w:rsidRDefault="00461973" w:rsidP="00FD2103">
      <w:pPr>
        <w:spacing w:before="100" w:beforeAutospacing="1" w:after="100" w:afterAutospacing="1"/>
        <w:ind w:hanging="454"/>
      </w:pPr>
      <w:r w:rsidRPr="00A06E36">
        <w:rPr>
          <w:sz w:val="22"/>
          <w:szCs w:val="22"/>
        </w:rPr>
        <w:t xml:space="preserve">Yorke, M. and </w:t>
      </w:r>
      <w:proofErr w:type="spellStart"/>
      <w:r w:rsidRPr="00A06E36">
        <w:rPr>
          <w:sz w:val="22"/>
          <w:szCs w:val="22"/>
        </w:rPr>
        <w:t>Longden</w:t>
      </w:r>
      <w:proofErr w:type="spellEnd"/>
      <w:r w:rsidRPr="00A06E36">
        <w:rPr>
          <w:sz w:val="22"/>
          <w:szCs w:val="22"/>
        </w:rPr>
        <w:t xml:space="preserve">, B. (2004). </w:t>
      </w:r>
      <w:r w:rsidRPr="00A06E36">
        <w:rPr>
          <w:i/>
          <w:sz w:val="22"/>
          <w:szCs w:val="22"/>
        </w:rPr>
        <w:t>Retention and student success in higher education</w:t>
      </w:r>
      <w:r w:rsidRPr="00A06E36">
        <w:rPr>
          <w:sz w:val="22"/>
          <w:szCs w:val="22"/>
        </w:rPr>
        <w:t>, Maidenhead: Society for Research into Higher Education (SRHE) and Open University Press.</w:t>
      </w:r>
    </w:p>
    <w:sectPr w:rsidR="00911A6E" w:rsidRPr="00E8039A" w:rsidSect="00551B82">
      <w:headerReference w:type="default" r:id="rId16"/>
      <w:footerReference w:type="even" r:id="rId17"/>
      <w:footerReference w:type="default" r:id="rId18"/>
      <w:headerReference w:type="first" r:id="rId22"/>
      <w:headerReference w:type="even" r:id="rId23"/>
      <w:footerReference w:type="first" r:id="rId2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2698" w:rsidRDefault="009B2698">
      <w:r>
        <w:separator/>
      </w:r>
    </w:p>
  </w:endnote>
  <w:endnote w:type="continuationSeparator" w:id="0">
    <w:p w:rsidR="009B2698" w:rsidRDefault="009B2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Lucida Grande">
    <w:altName w:val="Segoe UI"/>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2698" w:rsidRDefault="009B2698">
      <w:r>
        <w:separator/>
      </w:r>
    </w:p>
  </w:footnote>
  <w:footnote w:type="continuationSeparator" w:id="0">
    <w:p w:rsidR="009B2698" w:rsidRDefault="009B2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A0299"/>
    <w:multiLevelType w:val="hybridMultilevel"/>
    <w:tmpl w:val="8FAC36FE"/>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1BA2584C"/>
    <w:multiLevelType w:val="hybridMultilevel"/>
    <w:tmpl w:val="391C6006"/>
    <w:lvl w:ilvl="0" w:tplc="7AAA7028">
      <w:start w:val="1"/>
      <w:numFmt w:val="bullet"/>
      <w:pStyle w:val="List1"/>
      <w:lvlText w:val=""/>
      <w:lvlJc w:val="left"/>
      <w:pPr>
        <w:tabs>
          <w:tab w:val="num" w:pos="947"/>
        </w:tabs>
        <w:ind w:left="947" w:hanging="360"/>
      </w:pPr>
      <w:rPr>
        <w:rFonts w:ascii="Symbol" w:hAnsi="Symbol" w:hint="default"/>
      </w:rPr>
    </w:lvl>
    <w:lvl w:ilvl="1" w:tplc="08090003" w:tentative="1">
      <w:start w:val="1"/>
      <w:numFmt w:val="bullet"/>
      <w:lvlText w:val="o"/>
      <w:lvlJc w:val="left"/>
      <w:pPr>
        <w:tabs>
          <w:tab w:val="num" w:pos="1667"/>
        </w:tabs>
        <w:ind w:left="1667" w:hanging="360"/>
      </w:pPr>
      <w:rPr>
        <w:rFonts w:ascii="Courier New" w:hAnsi="Courier New" w:cs="Lucida Grande"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Lucida Grande"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Lucida Grande"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2" w15:restartNumberingAfterBreak="0">
    <w:nsid w:val="223032C6"/>
    <w:multiLevelType w:val="hybridMultilevel"/>
    <w:tmpl w:val="1D9EB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5F00B8"/>
    <w:multiLevelType w:val="hybridMultilevel"/>
    <w:tmpl w:val="86726644"/>
    <w:lvl w:ilvl="0" w:tplc="31B0AEE0">
      <w:start w:val="1"/>
      <w:numFmt w:val="decimal"/>
      <w:pStyle w:val="Endnotes"/>
      <w:lvlText w:val="%1."/>
      <w:lvlJc w:val="left"/>
      <w:pPr>
        <w:tabs>
          <w:tab w:val="num" w:pos="1077"/>
        </w:tabs>
        <w:ind w:left="1077" w:hanging="360"/>
      </w:pPr>
      <w:rPr>
        <w:rFonts w:hint="default"/>
        <w:caps w:val="0"/>
        <w:strike w:val="0"/>
        <w:dstrike w:val="0"/>
        <w:vanish w:val="0"/>
        <w:vertAlign w:val="superscript"/>
      </w:rPr>
    </w:lvl>
    <w:lvl w:ilvl="1" w:tplc="08090019" w:tentative="1">
      <w:start w:val="1"/>
      <w:numFmt w:val="lowerLetter"/>
      <w:lvlText w:val="%2."/>
      <w:lvlJc w:val="left"/>
      <w:pPr>
        <w:tabs>
          <w:tab w:val="num" w:pos="1797"/>
        </w:tabs>
        <w:ind w:left="1797" w:hanging="360"/>
      </w:pPr>
    </w:lvl>
    <w:lvl w:ilvl="2" w:tplc="0809001B" w:tentative="1">
      <w:start w:val="1"/>
      <w:numFmt w:val="lowerRoman"/>
      <w:lvlText w:val="%3."/>
      <w:lvlJc w:val="right"/>
      <w:pPr>
        <w:tabs>
          <w:tab w:val="num" w:pos="2517"/>
        </w:tabs>
        <w:ind w:left="2517" w:hanging="180"/>
      </w:pPr>
    </w:lvl>
    <w:lvl w:ilvl="3" w:tplc="0809000F" w:tentative="1">
      <w:start w:val="1"/>
      <w:numFmt w:val="decimal"/>
      <w:lvlText w:val="%4."/>
      <w:lvlJc w:val="left"/>
      <w:pPr>
        <w:tabs>
          <w:tab w:val="num" w:pos="3237"/>
        </w:tabs>
        <w:ind w:left="3237" w:hanging="360"/>
      </w:pPr>
    </w:lvl>
    <w:lvl w:ilvl="4" w:tplc="08090019" w:tentative="1">
      <w:start w:val="1"/>
      <w:numFmt w:val="lowerLetter"/>
      <w:lvlText w:val="%5."/>
      <w:lvlJc w:val="left"/>
      <w:pPr>
        <w:tabs>
          <w:tab w:val="num" w:pos="3957"/>
        </w:tabs>
        <w:ind w:left="3957" w:hanging="360"/>
      </w:pPr>
    </w:lvl>
    <w:lvl w:ilvl="5" w:tplc="0809001B" w:tentative="1">
      <w:start w:val="1"/>
      <w:numFmt w:val="lowerRoman"/>
      <w:lvlText w:val="%6."/>
      <w:lvlJc w:val="right"/>
      <w:pPr>
        <w:tabs>
          <w:tab w:val="num" w:pos="4677"/>
        </w:tabs>
        <w:ind w:left="4677" w:hanging="180"/>
      </w:pPr>
    </w:lvl>
    <w:lvl w:ilvl="6" w:tplc="0809000F" w:tentative="1">
      <w:start w:val="1"/>
      <w:numFmt w:val="decimal"/>
      <w:lvlText w:val="%7."/>
      <w:lvlJc w:val="left"/>
      <w:pPr>
        <w:tabs>
          <w:tab w:val="num" w:pos="5397"/>
        </w:tabs>
        <w:ind w:left="5397" w:hanging="360"/>
      </w:pPr>
    </w:lvl>
    <w:lvl w:ilvl="7" w:tplc="08090019" w:tentative="1">
      <w:start w:val="1"/>
      <w:numFmt w:val="lowerLetter"/>
      <w:lvlText w:val="%8."/>
      <w:lvlJc w:val="left"/>
      <w:pPr>
        <w:tabs>
          <w:tab w:val="num" w:pos="6117"/>
        </w:tabs>
        <w:ind w:left="6117" w:hanging="360"/>
      </w:pPr>
    </w:lvl>
    <w:lvl w:ilvl="8" w:tplc="0809001B" w:tentative="1">
      <w:start w:val="1"/>
      <w:numFmt w:val="lowerRoman"/>
      <w:lvlText w:val="%9."/>
      <w:lvlJc w:val="right"/>
      <w:pPr>
        <w:tabs>
          <w:tab w:val="num" w:pos="6837"/>
        </w:tabs>
        <w:ind w:left="6837" w:hanging="180"/>
      </w:pPr>
    </w:lvl>
  </w:abstractNum>
  <w:abstractNum w:abstractNumId="4" w15:restartNumberingAfterBreak="0">
    <w:nsid w:val="5F2F6453"/>
    <w:multiLevelType w:val="hybridMultilevel"/>
    <w:tmpl w:val="19808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136A"/>
    <w:rsid w:val="00026E03"/>
    <w:rsid w:val="00042669"/>
    <w:rsid w:val="00062A0F"/>
    <w:rsid w:val="000638F8"/>
    <w:rsid w:val="000700D0"/>
    <w:rsid w:val="000847BF"/>
    <w:rsid w:val="00097610"/>
    <w:rsid w:val="000A35A1"/>
    <w:rsid w:val="000C0B99"/>
    <w:rsid w:val="000D6DE8"/>
    <w:rsid w:val="000E234F"/>
    <w:rsid w:val="000E3658"/>
    <w:rsid w:val="000F7671"/>
    <w:rsid w:val="00113B27"/>
    <w:rsid w:val="00153A2E"/>
    <w:rsid w:val="00165535"/>
    <w:rsid w:val="00172FD0"/>
    <w:rsid w:val="00176115"/>
    <w:rsid w:val="001E381F"/>
    <w:rsid w:val="001F26EF"/>
    <w:rsid w:val="002177B4"/>
    <w:rsid w:val="00222227"/>
    <w:rsid w:val="0026393E"/>
    <w:rsid w:val="0029490A"/>
    <w:rsid w:val="0029595E"/>
    <w:rsid w:val="002B4988"/>
    <w:rsid w:val="002C7689"/>
    <w:rsid w:val="002E0673"/>
    <w:rsid w:val="003374FE"/>
    <w:rsid w:val="00341500"/>
    <w:rsid w:val="00344BA7"/>
    <w:rsid w:val="003513C5"/>
    <w:rsid w:val="003942E1"/>
    <w:rsid w:val="0039470C"/>
    <w:rsid w:val="003A0601"/>
    <w:rsid w:val="003B3B30"/>
    <w:rsid w:val="003B66C6"/>
    <w:rsid w:val="00421A45"/>
    <w:rsid w:val="00444701"/>
    <w:rsid w:val="00447B43"/>
    <w:rsid w:val="00452D9A"/>
    <w:rsid w:val="00461973"/>
    <w:rsid w:val="004621B4"/>
    <w:rsid w:val="004B3690"/>
    <w:rsid w:val="005114C4"/>
    <w:rsid w:val="00517B11"/>
    <w:rsid w:val="00526EC2"/>
    <w:rsid w:val="00551B82"/>
    <w:rsid w:val="005D4644"/>
    <w:rsid w:val="00606FE9"/>
    <w:rsid w:val="006126FF"/>
    <w:rsid w:val="00627A56"/>
    <w:rsid w:val="0063154E"/>
    <w:rsid w:val="00654858"/>
    <w:rsid w:val="00697713"/>
    <w:rsid w:val="006A4A77"/>
    <w:rsid w:val="006E14D6"/>
    <w:rsid w:val="0072737E"/>
    <w:rsid w:val="00760A5E"/>
    <w:rsid w:val="0077682C"/>
    <w:rsid w:val="00782CAC"/>
    <w:rsid w:val="007A1285"/>
    <w:rsid w:val="007A65AD"/>
    <w:rsid w:val="00811341"/>
    <w:rsid w:val="00822141"/>
    <w:rsid w:val="00896450"/>
    <w:rsid w:val="008C0F7F"/>
    <w:rsid w:val="008C73C8"/>
    <w:rsid w:val="008F004E"/>
    <w:rsid w:val="00904BF2"/>
    <w:rsid w:val="00911A6E"/>
    <w:rsid w:val="00925486"/>
    <w:rsid w:val="00926919"/>
    <w:rsid w:val="00933917"/>
    <w:rsid w:val="00956F83"/>
    <w:rsid w:val="00970530"/>
    <w:rsid w:val="00991CB6"/>
    <w:rsid w:val="00996307"/>
    <w:rsid w:val="009A1D9A"/>
    <w:rsid w:val="009B2698"/>
    <w:rsid w:val="009B3E61"/>
    <w:rsid w:val="009B3E71"/>
    <w:rsid w:val="009C6C0F"/>
    <w:rsid w:val="009D2B3B"/>
    <w:rsid w:val="00A06E36"/>
    <w:rsid w:val="00A11AB0"/>
    <w:rsid w:val="00A1256B"/>
    <w:rsid w:val="00A12709"/>
    <w:rsid w:val="00A6606E"/>
    <w:rsid w:val="00A74E3E"/>
    <w:rsid w:val="00A75BFD"/>
    <w:rsid w:val="00A75E99"/>
    <w:rsid w:val="00A82BC5"/>
    <w:rsid w:val="00A84238"/>
    <w:rsid w:val="00AB0B9A"/>
    <w:rsid w:val="00AB59A6"/>
    <w:rsid w:val="00AD74FF"/>
    <w:rsid w:val="00AE1A3F"/>
    <w:rsid w:val="00B51016"/>
    <w:rsid w:val="00B60BE2"/>
    <w:rsid w:val="00BD733C"/>
    <w:rsid w:val="00C86C83"/>
    <w:rsid w:val="00D05543"/>
    <w:rsid w:val="00D0637A"/>
    <w:rsid w:val="00D12E9C"/>
    <w:rsid w:val="00D20A6A"/>
    <w:rsid w:val="00D35AF8"/>
    <w:rsid w:val="00D43726"/>
    <w:rsid w:val="00DA53D8"/>
    <w:rsid w:val="00DC6548"/>
    <w:rsid w:val="00DD7B5F"/>
    <w:rsid w:val="00E54500"/>
    <w:rsid w:val="00EA0CF8"/>
    <w:rsid w:val="00EB048A"/>
    <w:rsid w:val="00EC19BE"/>
    <w:rsid w:val="00EE00B5"/>
    <w:rsid w:val="00EE7785"/>
    <w:rsid w:val="00F127A9"/>
    <w:rsid w:val="00F27D43"/>
    <w:rsid w:val="00F3136A"/>
    <w:rsid w:val="00FA62FD"/>
    <w:rsid w:val="00FC3D27"/>
    <w:rsid w:val="00FC4B81"/>
    <w:rsid w:val="00FC7FD5"/>
    <w:rsid w:val="00FD210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E5257BC"/>
  <w15:docId w15:val="{1C968272-E2EE-47CA-96E3-8F5AC80A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51B82"/>
    <w:rPr>
      <w:lang w:eastAsia="en-GB"/>
    </w:rPr>
  </w:style>
  <w:style w:type="paragraph" w:styleId="Heading1">
    <w:name w:val="heading 1"/>
    <w:basedOn w:val="Normal"/>
    <w:next w:val="Normal"/>
    <w:link w:val="Heading1Char"/>
    <w:qFormat/>
    <w:rsid w:val="00E57023"/>
    <w:pPr>
      <w:keepNext/>
      <w:spacing w:before="240" w:after="240"/>
      <w:outlineLvl w:val="0"/>
    </w:pPr>
    <w:rPr>
      <w:rFonts w:ascii="Arial" w:hAnsi="Arial" w:cs="Arial"/>
      <w:bCs/>
      <w:kern w:val="32"/>
      <w:sz w:val="32"/>
      <w:szCs w:val="32"/>
    </w:rPr>
  </w:style>
  <w:style w:type="paragraph" w:styleId="Heading2">
    <w:name w:val="heading 2"/>
    <w:basedOn w:val="Normal"/>
    <w:next w:val="Normal"/>
    <w:link w:val="Heading2Char"/>
    <w:qFormat/>
    <w:rsid w:val="00E57023"/>
    <w:pPr>
      <w:keepNext/>
      <w:spacing w:before="240" w:after="240"/>
      <w:outlineLvl w:val="1"/>
    </w:pPr>
    <w:rPr>
      <w:rFonts w:ascii="Arial" w:hAnsi="Arial" w:cs="Arial"/>
      <w:bCs/>
      <w:iCs/>
      <w:sz w:val="26"/>
      <w:szCs w:val="28"/>
    </w:rPr>
  </w:style>
  <w:style w:type="paragraph" w:styleId="Heading3">
    <w:name w:val="heading 3"/>
    <w:basedOn w:val="Normal"/>
    <w:next w:val="Normal"/>
    <w:link w:val="Heading3Char"/>
    <w:uiPriority w:val="9"/>
    <w:unhideWhenUsed/>
    <w:qFormat/>
    <w:rsid w:val="00803C19"/>
    <w:pPr>
      <w:keepNext/>
      <w:keepLines/>
      <w:spacing w:before="40"/>
      <w:outlineLvl w:val="2"/>
    </w:pPr>
    <w:rPr>
      <w:rFonts w:ascii="Calibri Light" w:hAnsi="Calibri Light"/>
      <w:color w:val="1F4D7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rsid w:val="00F3136A"/>
    <w:pPr>
      <w:spacing w:after="240"/>
    </w:pPr>
    <w:rPr>
      <w:rFonts w:ascii="Arial" w:hAnsi="Arial"/>
      <w:b/>
      <w:sz w:val="34"/>
    </w:rPr>
  </w:style>
  <w:style w:type="paragraph" w:customStyle="1" w:styleId="Articletitle">
    <w:name w:val="Article title"/>
    <w:rsid w:val="00F3136A"/>
    <w:pPr>
      <w:spacing w:after="240"/>
    </w:pPr>
    <w:rPr>
      <w:rFonts w:ascii="Arial" w:hAnsi="Arial"/>
      <w:sz w:val="34"/>
      <w:lang w:eastAsia="en-GB"/>
    </w:rPr>
  </w:style>
  <w:style w:type="paragraph" w:customStyle="1" w:styleId="Authordetails">
    <w:name w:val="Author details"/>
    <w:basedOn w:val="Normal"/>
    <w:rsid w:val="00F3136A"/>
    <w:pPr>
      <w:spacing w:after="240"/>
    </w:pPr>
    <w:rPr>
      <w:rFonts w:ascii="Arial" w:hAnsi="Arial"/>
    </w:rPr>
  </w:style>
  <w:style w:type="paragraph" w:customStyle="1" w:styleId="Abstract">
    <w:name w:val="Abstract"/>
    <w:basedOn w:val="Normal"/>
    <w:rsid w:val="00BF6787"/>
    <w:pPr>
      <w:spacing w:after="240"/>
    </w:pPr>
    <w:rPr>
      <w:sz w:val="22"/>
    </w:rPr>
  </w:style>
  <w:style w:type="paragraph" w:customStyle="1" w:styleId="body">
    <w:name w:val="body"/>
    <w:basedOn w:val="Normal"/>
    <w:rsid w:val="00E57023"/>
    <w:pPr>
      <w:spacing w:after="120"/>
      <w:ind w:firstLine="227"/>
    </w:pPr>
  </w:style>
  <w:style w:type="paragraph" w:customStyle="1" w:styleId="References">
    <w:name w:val="References"/>
    <w:basedOn w:val="Normal"/>
    <w:rsid w:val="00E57023"/>
    <w:pPr>
      <w:spacing w:after="120"/>
      <w:ind w:left="454" w:hanging="454"/>
    </w:pPr>
    <w:rPr>
      <w:sz w:val="22"/>
    </w:rPr>
  </w:style>
  <w:style w:type="paragraph" w:customStyle="1" w:styleId="List1">
    <w:name w:val="List1"/>
    <w:basedOn w:val="body"/>
    <w:rsid w:val="003B52B5"/>
    <w:pPr>
      <w:numPr>
        <w:numId w:val="1"/>
      </w:numPr>
      <w:tabs>
        <w:tab w:val="clear" w:pos="947"/>
        <w:tab w:val="left" w:pos="340"/>
      </w:tabs>
      <w:ind w:left="340" w:hanging="340"/>
    </w:pPr>
  </w:style>
  <w:style w:type="paragraph" w:customStyle="1" w:styleId="Endnotes">
    <w:name w:val="Endnotes"/>
    <w:basedOn w:val="References"/>
    <w:rsid w:val="00FA7E95"/>
    <w:pPr>
      <w:numPr>
        <w:numId w:val="2"/>
      </w:numPr>
      <w:tabs>
        <w:tab w:val="left" w:pos="720"/>
      </w:tabs>
    </w:pPr>
  </w:style>
  <w:style w:type="paragraph" w:customStyle="1" w:styleId="figuretabletitle">
    <w:name w:val="figure/table title"/>
    <w:basedOn w:val="body"/>
    <w:rsid w:val="00FA7E95"/>
    <w:pPr>
      <w:ind w:firstLine="0"/>
    </w:pPr>
  </w:style>
  <w:style w:type="paragraph" w:customStyle="1" w:styleId="displayedquote">
    <w:name w:val="displayed quote"/>
    <w:rsid w:val="00702FA2"/>
    <w:pPr>
      <w:spacing w:after="240"/>
      <w:ind w:left="567" w:right="567"/>
    </w:pPr>
    <w:rPr>
      <w:sz w:val="22"/>
      <w:lang w:eastAsia="en-GB"/>
    </w:rPr>
  </w:style>
  <w:style w:type="character" w:styleId="Emphasis">
    <w:name w:val="Emphasis"/>
    <w:qFormat/>
    <w:rsid w:val="00215818"/>
    <w:rPr>
      <w:i/>
      <w:iCs/>
    </w:rPr>
  </w:style>
  <w:style w:type="character" w:customStyle="1" w:styleId="Heading3Char">
    <w:name w:val="Heading 3 Char"/>
    <w:link w:val="Heading3"/>
    <w:uiPriority w:val="9"/>
    <w:rsid w:val="00803C19"/>
    <w:rPr>
      <w:rFonts w:ascii="Calibri Light" w:hAnsi="Calibri Light"/>
      <w:color w:val="1F4D78"/>
      <w:sz w:val="24"/>
      <w:szCs w:val="24"/>
      <w:lang w:eastAsia="en-US"/>
    </w:rPr>
  </w:style>
  <w:style w:type="paragraph" w:styleId="NormalWeb">
    <w:name w:val="Normal (Web)"/>
    <w:basedOn w:val="Normal"/>
    <w:uiPriority w:val="99"/>
    <w:rsid w:val="00803C19"/>
    <w:pPr>
      <w:spacing w:beforeLines="1" w:afterLines="1" w:line="276" w:lineRule="auto"/>
    </w:pPr>
    <w:rPr>
      <w:rFonts w:ascii="Times" w:hAnsi="Times"/>
      <w:sz w:val="20"/>
      <w:szCs w:val="20"/>
      <w:lang w:eastAsia="en-US"/>
    </w:rPr>
  </w:style>
  <w:style w:type="character" w:styleId="Hyperlink">
    <w:name w:val="Hyperlink"/>
    <w:uiPriority w:val="99"/>
    <w:unhideWhenUsed/>
    <w:rsid w:val="006F7911"/>
    <w:rPr>
      <w:color w:val="0563C1"/>
      <w:u w:val="single"/>
    </w:rPr>
  </w:style>
  <w:style w:type="paragraph" w:styleId="NoSpacing">
    <w:name w:val="No Spacing"/>
    <w:link w:val="NoSpacingChar"/>
    <w:uiPriority w:val="1"/>
    <w:qFormat/>
    <w:rsid w:val="006F7911"/>
    <w:rPr>
      <w:rFonts w:ascii="Calibri" w:hAnsi="Calibri"/>
      <w:sz w:val="22"/>
      <w:szCs w:val="22"/>
    </w:rPr>
  </w:style>
  <w:style w:type="character" w:customStyle="1" w:styleId="NoSpacingChar">
    <w:name w:val="No Spacing Char"/>
    <w:link w:val="NoSpacing"/>
    <w:uiPriority w:val="1"/>
    <w:rsid w:val="006F7911"/>
    <w:rPr>
      <w:rFonts w:ascii="Calibri" w:hAnsi="Calibri"/>
      <w:sz w:val="22"/>
      <w:szCs w:val="22"/>
      <w:lang w:eastAsia="en-US" w:bidi="ar-SA"/>
    </w:rPr>
  </w:style>
  <w:style w:type="paragraph" w:customStyle="1" w:styleId="Default">
    <w:name w:val="Default"/>
    <w:rsid w:val="006F7911"/>
    <w:pPr>
      <w:autoSpaceDE w:val="0"/>
      <w:autoSpaceDN w:val="0"/>
      <w:adjustRightInd w:val="0"/>
    </w:pPr>
    <w:rPr>
      <w:rFonts w:ascii="Arial" w:hAnsi="Arial" w:cs="Arial"/>
      <w:color w:val="000000"/>
      <w:lang w:eastAsia="en-GB"/>
    </w:rPr>
  </w:style>
  <w:style w:type="character" w:customStyle="1" w:styleId="apple-converted-space">
    <w:name w:val="apple-converted-space"/>
    <w:rsid w:val="006F7911"/>
  </w:style>
  <w:style w:type="character" w:styleId="FollowedHyperlink">
    <w:name w:val="FollowedHyperlink"/>
    <w:rsid w:val="006F7911"/>
    <w:rPr>
      <w:color w:val="954F72"/>
      <w:u w:val="single"/>
    </w:rPr>
  </w:style>
  <w:style w:type="paragraph" w:styleId="BalloonText">
    <w:name w:val="Balloon Text"/>
    <w:basedOn w:val="Normal"/>
    <w:link w:val="BalloonTextChar"/>
    <w:rsid w:val="0019565B"/>
    <w:rPr>
      <w:rFonts w:ascii="Lucida Grande" w:hAnsi="Lucida Grande"/>
      <w:sz w:val="18"/>
      <w:szCs w:val="18"/>
    </w:rPr>
  </w:style>
  <w:style w:type="character" w:customStyle="1" w:styleId="BalloonTextChar">
    <w:name w:val="Balloon Text Char"/>
    <w:basedOn w:val="DefaultParagraphFont"/>
    <w:link w:val="BalloonText"/>
    <w:rsid w:val="0019565B"/>
    <w:rPr>
      <w:rFonts w:ascii="Lucida Grande" w:hAnsi="Lucida Grande"/>
      <w:sz w:val="18"/>
      <w:szCs w:val="18"/>
      <w:lang w:eastAsia="en-GB"/>
    </w:rPr>
  </w:style>
  <w:style w:type="paragraph" w:styleId="Footer">
    <w:name w:val="footer"/>
    <w:basedOn w:val="Normal"/>
    <w:link w:val="FooterChar"/>
    <w:rsid w:val="0019565B"/>
    <w:pPr>
      <w:tabs>
        <w:tab w:val="center" w:pos="4320"/>
        <w:tab w:val="right" w:pos="8640"/>
      </w:tabs>
    </w:pPr>
  </w:style>
  <w:style w:type="character" w:customStyle="1" w:styleId="FooterChar">
    <w:name w:val="Footer Char"/>
    <w:basedOn w:val="DefaultParagraphFont"/>
    <w:link w:val="Footer"/>
    <w:rsid w:val="0019565B"/>
    <w:rPr>
      <w:sz w:val="24"/>
      <w:szCs w:val="24"/>
      <w:lang w:eastAsia="en-GB"/>
    </w:rPr>
  </w:style>
  <w:style w:type="character" w:styleId="PageNumber">
    <w:name w:val="page number"/>
    <w:basedOn w:val="DefaultParagraphFont"/>
    <w:rsid w:val="0019565B"/>
  </w:style>
  <w:style w:type="character" w:styleId="CommentReference">
    <w:name w:val="annotation reference"/>
    <w:basedOn w:val="DefaultParagraphFont"/>
    <w:rsid w:val="00673504"/>
    <w:rPr>
      <w:sz w:val="18"/>
      <w:szCs w:val="18"/>
    </w:rPr>
  </w:style>
  <w:style w:type="paragraph" w:styleId="CommentText">
    <w:name w:val="annotation text"/>
    <w:basedOn w:val="Normal"/>
    <w:link w:val="CommentTextChar"/>
    <w:rsid w:val="00673504"/>
  </w:style>
  <w:style w:type="character" w:customStyle="1" w:styleId="CommentTextChar">
    <w:name w:val="Comment Text Char"/>
    <w:basedOn w:val="DefaultParagraphFont"/>
    <w:link w:val="CommentText"/>
    <w:rsid w:val="00673504"/>
    <w:rPr>
      <w:sz w:val="24"/>
      <w:szCs w:val="24"/>
      <w:lang w:eastAsia="en-GB"/>
    </w:rPr>
  </w:style>
  <w:style w:type="paragraph" w:styleId="CommentSubject">
    <w:name w:val="annotation subject"/>
    <w:basedOn w:val="CommentText"/>
    <w:next w:val="CommentText"/>
    <w:link w:val="CommentSubjectChar"/>
    <w:rsid w:val="00673504"/>
    <w:rPr>
      <w:b/>
      <w:bCs/>
      <w:sz w:val="20"/>
      <w:szCs w:val="20"/>
    </w:rPr>
  </w:style>
  <w:style w:type="character" w:customStyle="1" w:styleId="CommentSubjectChar">
    <w:name w:val="Comment Subject Char"/>
    <w:basedOn w:val="CommentTextChar"/>
    <w:link w:val="CommentSubject"/>
    <w:rsid w:val="00673504"/>
    <w:rPr>
      <w:b/>
      <w:bCs/>
      <w:sz w:val="24"/>
      <w:szCs w:val="24"/>
      <w:lang w:eastAsia="en-GB"/>
    </w:rPr>
  </w:style>
  <w:style w:type="paragraph" w:customStyle="1" w:styleId="Mkgt1">
    <w:name w:val="Mkgt 1"/>
    <w:basedOn w:val="Normal"/>
    <w:qFormat/>
    <w:rsid w:val="00461973"/>
    <w:pPr>
      <w:outlineLvl w:val="0"/>
    </w:pPr>
    <w:rPr>
      <w:rFonts w:cs="Arial"/>
      <w:b/>
      <w:sz w:val="28"/>
      <w:szCs w:val="28"/>
    </w:rPr>
  </w:style>
  <w:style w:type="paragraph" w:customStyle="1" w:styleId="Heading1Mktg">
    <w:name w:val="Heading 1 (Mktg)"/>
    <w:basedOn w:val="Normal"/>
    <w:autoRedefine/>
    <w:qFormat/>
    <w:rsid w:val="00461973"/>
    <w:rPr>
      <w:b/>
      <w:sz w:val="28"/>
    </w:rPr>
  </w:style>
  <w:style w:type="character" w:customStyle="1" w:styleId="Heading1Char">
    <w:name w:val="Heading 1 Char"/>
    <w:basedOn w:val="DefaultParagraphFont"/>
    <w:link w:val="Heading1"/>
    <w:rsid w:val="00461973"/>
    <w:rPr>
      <w:rFonts w:ascii="Arial" w:hAnsi="Arial" w:cs="Arial"/>
      <w:bCs/>
      <w:kern w:val="32"/>
      <w:sz w:val="32"/>
      <w:szCs w:val="32"/>
      <w:lang w:eastAsia="en-GB"/>
    </w:rPr>
  </w:style>
  <w:style w:type="character" w:customStyle="1" w:styleId="Heading2Char">
    <w:name w:val="Heading 2 Char"/>
    <w:basedOn w:val="DefaultParagraphFont"/>
    <w:link w:val="Heading2"/>
    <w:rsid w:val="00461973"/>
    <w:rPr>
      <w:rFonts w:ascii="Arial" w:hAnsi="Arial" w:cs="Arial"/>
      <w:bCs/>
      <w:iCs/>
      <w:sz w:val="26"/>
      <w:szCs w:val="28"/>
      <w:lang w:eastAsia="en-GB"/>
    </w:rPr>
  </w:style>
  <w:style w:type="paragraph" w:styleId="Header">
    <w:name w:val="header"/>
    <w:basedOn w:val="Normal"/>
    <w:link w:val="HeaderChar"/>
    <w:uiPriority w:val="99"/>
    <w:unhideWhenUsed/>
    <w:rsid w:val="005D4644"/>
    <w:pPr>
      <w:tabs>
        <w:tab w:val="center" w:pos="4513"/>
        <w:tab w:val="right" w:pos="9026"/>
      </w:tabs>
    </w:pPr>
  </w:style>
  <w:style w:type="character" w:customStyle="1" w:styleId="HeaderChar">
    <w:name w:val="Header Char"/>
    <w:basedOn w:val="DefaultParagraphFont"/>
    <w:link w:val="Header"/>
    <w:uiPriority w:val="99"/>
    <w:rsid w:val="005D4644"/>
    <w:rPr>
      <w:lang w:eastAsia="en-GB"/>
    </w:rPr>
  </w:style>
  <w:style w:type="character" w:customStyle="1" w:styleId="WPLL">
    <w:name w:val="WPLL"/>
    <w:basedOn w:val="DefaultParagraphFont"/>
    <w:uiPriority w:val="1"/>
    <w:rsid w:val="005D4644"/>
    <w:rPr>
      <w:rFonts w:ascii="Arial" w:hAnsi="Arial"/>
      <w:i/>
      <w:color w:val="A6A6A6" w:themeColor="background1" w:themeShade="A6"/>
      <w:sz w:val="17"/>
    </w:rPr>
  </w:style>
  <w:style w:type="character" w:customStyle="1" w:styleId="Issuenumberanddate">
    <w:name w:val="Issue number and date"/>
    <w:basedOn w:val="DefaultParagraphFont"/>
    <w:uiPriority w:val="1"/>
    <w:rsid w:val="005D4644"/>
    <w:rPr>
      <w:rFonts w:ascii="Arial" w:hAnsi="Arial"/>
      <w:color w:val="A6A6A6" w:themeColor="background1" w:themeShade="A6"/>
      <w:sz w:val="17"/>
    </w:rPr>
  </w:style>
  <w:style w:type="character" w:customStyle="1" w:styleId="ISSN">
    <w:name w:val="ISSN"/>
    <w:basedOn w:val="DefaultParagraphFont"/>
    <w:uiPriority w:val="1"/>
    <w:rsid w:val="005D4644"/>
    <w:rPr>
      <w:rFonts w:ascii="Arial" w:hAnsi="Arial"/>
      <w:color w:val="A6A6A6" w:themeColor="background1" w:themeShade="A6"/>
      <w:sz w:val="17"/>
    </w:rPr>
  </w:style>
  <w:style w:type="character" w:customStyle="1" w:styleId="AuthorDeatls">
    <w:name w:val="Author Deatls"/>
    <w:basedOn w:val="DefaultParagraphFont"/>
    <w:uiPriority w:val="1"/>
    <w:rsid w:val="006A4A77"/>
    <w:rPr>
      <w:rFonts w:ascii="Arial" w:hAnsi="Arial"/>
      <w:sz w:val="24"/>
    </w:rPr>
  </w:style>
  <w:style w:type="character" w:customStyle="1" w:styleId="KeyWords">
    <w:name w:val="Key Words"/>
    <w:basedOn w:val="DefaultParagraphFont"/>
    <w:uiPriority w:val="1"/>
    <w:rsid w:val="006A4A77"/>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esa.ac.uk/data-and-analysis/performance-indicators/non-continuation"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s.farenga@herts.ac.uk" TargetMode="External"/><Relationship Id="rId12" Type="http://schemas.openxmlformats.org/officeDocument/2006/relationships/hyperlink" Target="http://www.hefce.ac.uk/pubs/year/2013/201315/"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efce.ac.uk/media/hefce/content/pubs/2013/201328/HEFCE_2013_28.pdf" TargetMode="External"/><Relationship Id="rId5" Type="http://schemas.openxmlformats.org/officeDocument/2006/relationships/footnotes" Target="footnotes.xml"/><Relationship Id="rId15" Type="http://schemas.openxmlformats.org/officeDocument/2006/relationships/hyperlink" Target="https://www.ucas.com/files/2016-end-cycle-report-2016"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conference.herdsa.org.au/2005/pdf/refereed/paper_294.pdf" TargetMode="External"/><Relationship Id="rId22" Type="http://schemas.openxmlformats.org/officeDocument/2006/relationships/header" Target="header2.xml"/><Relationship Id="rId23" Type="http://schemas.openxmlformats.org/officeDocument/2006/relationships/header" Target="header3.xml"/><Relationship Id="rId2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3FE5D3CFA57485FB9C7B016AF0311A1"/>
        <w:category>
          <w:name w:val="General"/>
          <w:gallery w:val="placeholder"/>
        </w:category>
        <w:types>
          <w:type w:val="bbPlcHdr"/>
        </w:types>
        <w:behaviors>
          <w:behavior w:val="content"/>
        </w:behaviors>
        <w:guid w:val="{A7528B32-685F-4759-912D-DFC03F60F19E}"/>
      </w:docPartPr>
      <w:docPartBody>
        <w:p w:rsidR="00000000" w:rsidRDefault="00F559FB" w:rsidP="00F559FB">
          <w:pPr>
            <w:pStyle w:val="43FE5D3CFA57485FB9C7B016AF0311A1"/>
          </w:pPr>
          <w:r w:rsidRPr="001B652D">
            <w:rPr>
              <w:rStyle w:val="PlaceholderText"/>
            </w:rPr>
            <w:t>Click here to enter text.</w:t>
          </w:r>
        </w:p>
      </w:docPartBody>
    </w:docPart>
    <w:docPart>
      <w:docPartPr>
        <w:name w:val="5D16BC74C47B429493916FAA9EB71A1D"/>
        <w:category>
          <w:name w:val="General"/>
          <w:gallery w:val="placeholder"/>
        </w:category>
        <w:types>
          <w:type w:val="bbPlcHdr"/>
        </w:types>
        <w:behaviors>
          <w:behavior w:val="content"/>
        </w:behaviors>
        <w:guid w:val="{132ABBB3-E35E-4558-972F-90DB5293F7E0}"/>
      </w:docPartPr>
      <w:docPartBody>
        <w:p w:rsidR="00000000" w:rsidRDefault="00F559FB" w:rsidP="00F559FB">
          <w:pPr>
            <w:pStyle w:val="5D16BC74C47B429493916FAA9EB71A1D"/>
          </w:pPr>
          <w:r w:rsidRPr="001B652D">
            <w:rPr>
              <w:rStyle w:val="PlaceholderText"/>
            </w:rPr>
            <w:t>Click here to enter text.</w:t>
          </w:r>
        </w:p>
      </w:docPartBody>
    </w:docPart>
    <w:docPart>
      <w:docPartPr>
        <w:name w:val="A263B86488734BA0B5631CEB5D3D7F65"/>
        <w:category>
          <w:name w:val="General"/>
          <w:gallery w:val="placeholder"/>
        </w:category>
        <w:types>
          <w:type w:val="bbPlcHdr"/>
        </w:types>
        <w:behaviors>
          <w:behavior w:val="content"/>
        </w:behaviors>
        <w:guid w:val="{16D2489B-050C-43C3-BFF0-8B04E8F1F9C8}"/>
      </w:docPartPr>
      <w:docPartBody>
        <w:p w:rsidR="00000000" w:rsidRDefault="00F559FB" w:rsidP="00F559FB">
          <w:pPr>
            <w:pStyle w:val="A263B86488734BA0B5631CEB5D3D7F65"/>
          </w:pPr>
          <w:r w:rsidRPr="001B652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Lucida Grande">
    <w:altName w:val="Segoe UI"/>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FB"/>
    <w:rsid w:val="005E7902"/>
    <w:rsid w:val="00F55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59FB"/>
    <w:rPr>
      <w:color w:val="808080"/>
    </w:rPr>
  </w:style>
  <w:style w:type="paragraph" w:customStyle="1" w:styleId="43FE5D3CFA57485FB9C7B016AF0311A1">
    <w:name w:val="43FE5D3CFA57485FB9C7B016AF0311A1"/>
    <w:rsid w:val="00F559FB"/>
  </w:style>
  <w:style w:type="paragraph" w:customStyle="1" w:styleId="5D16BC74C47B429493916FAA9EB71A1D">
    <w:name w:val="5D16BC74C47B429493916FAA9EB71A1D"/>
    <w:rsid w:val="00F559FB"/>
  </w:style>
  <w:style w:type="paragraph" w:customStyle="1" w:styleId="A263B86488734BA0B5631CEB5D3D7F65">
    <w:name w:val="A263B86488734BA0B5631CEB5D3D7F65"/>
    <w:rsid w:val="00F559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6158</Words>
  <Characters>35102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[Section title]</vt:lpstr>
    </vt:vector>
  </TitlesOfParts>
  <Company>Open University</Company>
  <LinksUpToDate>false</LinksUpToDate>
  <CharactersWithSpaces>41178</CharactersWithSpaces>
  <SharedDoc>false</SharedDoc>
  <HLinks>
    <vt:vector size="24" baseType="variant">
      <vt:variant>
        <vt:i4>5898258</vt:i4>
      </vt:variant>
      <vt:variant>
        <vt:i4>9</vt:i4>
      </vt:variant>
      <vt:variant>
        <vt:i4>0</vt:i4>
      </vt:variant>
      <vt:variant>
        <vt:i4>5</vt:i4>
      </vt:variant>
      <vt:variant>
        <vt:lpwstr>http://conference.herdsa.org.au/2005/pdf/refereed/paper_294.pdf</vt:lpwstr>
      </vt:variant>
      <vt:variant>
        <vt:lpwstr/>
      </vt:variant>
      <vt:variant>
        <vt:i4>589912</vt:i4>
      </vt:variant>
      <vt:variant>
        <vt:i4>6</vt:i4>
      </vt:variant>
      <vt:variant>
        <vt:i4>0</vt:i4>
      </vt:variant>
      <vt:variant>
        <vt:i4>5</vt:i4>
      </vt:variant>
      <vt:variant>
        <vt:lpwstr>https://www.hesa.ac.uk/data-and-analysis/performance-indicators/non-continuation</vt:lpwstr>
      </vt:variant>
      <vt:variant>
        <vt:lpwstr/>
      </vt:variant>
      <vt:variant>
        <vt:i4>5505134</vt:i4>
      </vt:variant>
      <vt:variant>
        <vt:i4>3</vt:i4>
      </vt:variant>
      <vt:variant>
        <vt:i4>0</vt:i4>
      </vt:variant>
      <vt:variant>
        <vt:i4>5</vt:i4>
      </vt:variant>
      <vt:variant>
        <vt:lpwstr>http://www.hefce.ac.uk/pubs/year/2013/201315/</vt:lpwstr>
      </vt:variant>
      <vt:variant>
        <vt:lpwstr/>
      </vt:variant>
      <vt:variant>
        <vt:i4>7929881</vt:i4>
      </vt:variant>
      <vt:variant>
        <vt:i4>0</vt:i4>
      </vt:variant>
      <vt:variant>
        <vt:i4>0</vt:i4>
      </vt:variant>
      <vt:variant>
        <vt:i4>5</vt:i4>
      </vt:variant>
      <vt:variant>
        <vt:lpwstr>http://www.hefce.ac.uk/media/hefce/content/pubs/2013/201328/HEFCE_2013_28.pdf</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[Section title]</dc:title>
  <dc:subject/>
  <dc:creator>Sanaa Mufti</dc:creator>
  <keywords/>
  <lastModifiedBy>Sanaa Mufti</lastModifiedBy>
  <revision>3</revision>
  <lastPrinted>2016-12-01T12:28:00.0000000Z</lastPrinted>
  <dcterms:created xsi:type="dcterms:W3CDTF">2026-10-21T13:54:57.7330047Z</dcterms:created>
  <dcterms:modified xsi:type="dcterms:W3CDTF">2026-10-21T13:54:57.7330047Z</dcterms:modified>
</coreProperties>
</file>